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highlight w:val="none"/>
          <w:shd w:val="clear" w:fill="FFFFFF"/>
          <w:lang w:val="en-US" w:eastAsia="zh-CN"/>
        </w:rPr>
        <w:t>宜丰县</w:t>
      </w:r>
      <w:r>
        <w:rPr>
          <w:rFonts w:hint="eastAsia" w:ascii="宋体" w:hAnsi="宋体" w:eastAsia="宋体" w:cs="宋体"/>
          <w:b/>
          <w:i w:val="0"/>
          <w:caps w:val="0"/>
          <w:color w:val="333333"/>
          <w:spacing w:val="0"/>
          <w:sz w:val="44"/>
          <w:szCs w:val="44"/>
          <w:shd w:val="clear" w:fill="FFFFFF"/>
          <w:lang w:val="en-US" w:eastAsia="zh-CN"/>
        </w:rPr>
        <w:t>2020年</w:t>
      </w:r>
      <w:r>
        <w:rPr>
          <w:rFonts w:hint="eastAsia" w:ascii="宋体" w:hAnsi="宋体" w:eastAsia="宋体" w:cs="宋体"/>
          <w:b/>
          <w:i w:val="0"/>
          <w:caps w:val="0"/>
          <w:color w:val="333333"/>
          <w:spacing w:val="0"/>
          <w:sz w:val="44"/>
          <w:szCs w:val="44"/>
          <w:shd w:val="clear" w:fill="FFFFFF"/>
        </w:rPr>
        <w:t>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333333"/>
          <w:spacing w:val="0"/>
          <w:sz w:val="32"/>
          <w:szCs w:val="32"/>
          <w:highlight w:val="none"/>
        </w:rPr>
      </w:pPr>
      <w:r>
        <w:rPr>
          <w:rFonts w:hint="eastAsia" w:ascii="宋体" w:hAnsi="宋体" w:eastAsia="宋体" w:cs="宋体"/>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宜丰县政府信息化工作办公室结合有关统计数据编制。本年度报告中所列数据的统计期限自</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年1月1日起至</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宋体" w:hAnsi="宋体" w:eastAsia="宋体" w:cs="宋体"/>
          <w:i w:val="0"/>
          <w:caps w:val="0"/>
          <w:color w:val="333333"/>
          <w:spacing w:val="0"/>
          <w:sz w:val="32"/>
          <w:szCs w:val="32"/>
          <w:highlight w:val="none"/>
          <w:lang w:val="en-US" w:eastAsia="zh-CN"/>
        </w:rPr>
        <w:t>宜丰县</w:t>
      </w:r>
      <w:r>
        <w:rPr>
          <w:rFonts w:hint="eastAsia" w:ascii="宋体" w:hAnsi="宋体" w:eastAsia="宋体" w:cs="宋体"/>
          <w:i w:val="0"/>
          <w:caps w:val="0"/>
          <w:color w:val="333333"/>
          <w:spacing w:val="0"/>
          <w:sz w:val="32"/>
          <w:szCs w:val="32"/>
        </w:rPr>
        <w:t>人民政府网站</w:t>
      </w:r>
      <w:r>
        <w:rPr>
          <w:rFonts w:hint="eastAsia" w:ascii="宋体" w:hAnsi="宋体" w:eastAsia="宋体" w:cs="宋体"/>
          <w:i w:val="0"/>
          <w:caps w:val="0"/>
          <w:color w:val="333333"/>
          <w:spacing w:val="0"/>
          <w:sz w:val="32"/>
          <w:szCs w:val="32"/>
          <w:highlight w:val="none"/>
        </w:rPr>
        <w:t>（http://www.jxyf.gov.cn）</w:t>
      </w:r>
      <w:r>
        <w:rPr>
          <w:rFonts w:hint="eastAsia" w:ascii="宋体" w:hAnsi="宋体" w:eastAsia="宋体" w:cs="宋体"/>
          <w:i w:val="0"/>
          <w:caps w:val="0"/>
          <w:color w:val="333333"/>
          <w:spacing w:val="0"/>
          <w:sz w:val="32"/>
          <w:szCs w:val="32"/>
        </w:rPr>
        <w:t>下载。如对本报告有任何疑问，</w:t>
      </w:r>
      <w:r>
        <w:rPr>
          <w:rFonts w:hint="eastAsia" w:ascii="宋体" w:hAnsi="宋体" w:eastAsia="宋体" w:cs="宋体"/>
          <w:i w:val="0"/>
          <w:caps w:val="0"/>
          <w:color w:val="333333"/>
          <w:spacing w:val="0"/>
          <w:sz w:val="32"/>
          <w:szCs w:val="32"/>
          <w:highlight w:val="none"/>
        </w:rPr>
        <w:t>请与</w:t>
      </w:r>
      <w:r>
        <w:rPr>
          <w:rFonts w:hint="eastAsia" w:ascii="宋体" w:hAnsi="宋体" w:eastAsia="宋体" w:cs="宋体"/>
          <w:i w:val="0"/>
          <w:caps w:val="0"/>
          <w:color w:val="333333"/>
          <w:spacing w:val="0"/>
          <w:sz w:val="32"/>
          <w:szCs w:val="32"/>
          <w:highlight w:val="none"/>
          <w:lang w:val="en-US" w:eastAsia="zh-CN"/>
        </w:rPr>
        <w:t>宜丰县人民政府办公室</w:t>
      </w:r>
      <w:r>
        <w:rPr>
          <w:rFonts w:hint="eastAsia" w:ascii="宋体" w:hAnsi="宋体" w:eastAsia="宋体" w:cs="宋体"/>
          <w:i w:val="0"/>
          <w:caps w:val="0"/>
          <w:color w:val="333333"/>
          <w:spacing w:val="0"/>
          <w:sz w:val="32"/>
          <w:szCs w:val="32"/>
          <w:highlight w:val="none"/>
        </w:rPr>
        <w:t>联系（地址：</w:t>
      </w:r>
      <w:r>
        <w:rPr>
          <w:rFonts w:hint="eastAsia" w:ascii="宋体" w:hAnsi="宋体" w:eastAsia="宋体" w:cs="宋体"/>
          <w:i w:val="0"/>
          <w:caps w:val="0"/>
          <w:color w:val="333333"/>
          <w:spacing w:val="0"/>
          <w:sz w:val="32"/>
          <w:szCs w:val="32"/>
          <w:highlight w:val="none"/>
          <w:lang w:val="en-US" w:eastAsia="zh-CN"/>
        </w:rPr>
        <w:t>宜丰县行政中心323</w:t>
      </w:r>
      <w:r>
        <w:rPr>
          <w:rFonts w:hint="eastAsia" w:ascii="宋体" w:hAnsi="宋体" w:eastAsia="宋体" w:cs="宋体"/>
          <w:i w:val="0"/>
          <w:caps w:val="0"/>
          <w:color w:val="333333"/>
          <w:spacing w:val="0"/>
          <w:sz w:val="32"/>
          <w:szCs w:val="32"/>
          <w:highlight w:val="none"/>
        </w:rPr>
        <w:t>，电话：</w:t>
      </w:r>
      <w:r>
        <w:rPr>
          <w:rFonts w:hint="eastAsia" w:ascii="宋体" w:hAnsi="宋体" w:eastAsia="宋体" w:cs="宋体"/>
          <w:i w:val="0"/>
          <w:caps w:val="0"/>
          <w:color w:val="333333"/>
          <w:spacing w:val="0"/>
          <w:sz w:val="32"/>
          <w:szCs w:val="32"/>
          <w:highlight w:val="none"/>
          <w:lang w:val="en-US" w:eastAsia="zh-CN"/>
        </w:rPr>
        <w:t>0795-2991000</w:t>
      </w:r>
      <w:r>
        <w:rPr>
          <w:rFonts w:hint="eastAsia" w:ascii="宋体" w:hAnsi="宋体" w:eastAsia="宋体" w:cs="宋体"/>
          <w:i w:val="0"/>
          <w:caps w:val="0"/>
          <w:color w:val="333333"/>
          <w:spacing w:val="0"/>
          <w:sz w:val="32"/>
          <w:szCs w:val="32"/>
          <w:highlight w:val="none"/>
        </w:rPr>
        <w:t>，邮编：</w:t>
      </w:r>
      <w:r>
        <w:rPr>
          <w:rFonts w:hint="eastAsia" w:ascii="宋体" w:hAnsi="宋体" w:eastAsia="宋体" w:cs="宋体"/>
          <w:i w:val="0"/>
          <w:caps w:val="0"/>
          <w:color w:val="333333"/>
          <w:spacing w:val="0"/>
          <w:sz w:val="32"/>
          <w:szCs w:val="32"/>
          <w:highlight w:val="none"/>
          <w:lang w:val="en-US" w:eastAsia="zh-CN"/>
        </w:rPr>
        <w:t>336300</w:t>
      </w:r>
      <w:r>
        <w:rPr>
          <w:rFonts w:hint="eastAsia" w:ascii="宋体" w:hAnsi="宋体" w:eastAsia="宋体" w:cs="宋体"/>
          <w:i w:val="0"/>
          <w:caps w:val="0"/>
          <w:color w:val="333333"/>
          <w:spacing w:val="0"/>
          <w:sz w:val="32"/>
          <w:szCs w:val="32"/>
          <w:highlight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2020年</w:t>
      </w:r>
      <w:r>
        <w:rPr>
          <w:rFonts w:hint="eastAsia" w:ascii="宋体" w:hAnsi="宋体" w:eastAsia="宋体" w:cs="宋体"/>
          <w:i w:val="0"/>
          <w:caps w:val="0"/>
          <w:color w:val="333333"/>
          <w:spacing w:val="0"/>
          <w:sz w:val="32"/>
          <w:szCs w:val="32"/>
          <w:highlight w:val="none"/>
          <w:shd w:val="clear" w:fill="FFFFFF"/>
          <w:lang w:val="en-US" w:eastAsia="zh-CN"/>
        </w:rPr>
        <w:t>我县</w:t>
      </w:r>
      <w:r>
        <w:rPr>
          <w:rFonts w:hint="eastAsia" w:ascii="宋体" w:hAnsi="宋体" w:eastAsia="宋体" w:cs="宋体"/>
          <w:i w:val="0"/>
          <w:caps w:val="0"/>
          <w:color w:val="333333"/>
          <w:spacing w:val="0"/>
          <w:sz w:val="32"/>
          <w:szCs w:val="32"/>
          <w:shd w:val="clear" w:fill="FFFFFF"/>
          <w:lang w:val="en-US" w:eastAsia="zh-CN"/>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江西省人民政府办公厅关于印发2020年江西省政务公开工作要点的通知》（赣府厅字〔2020〕49号）文件明确目标任务，紧紧围绕省委、省政府中心工作及社会群众关注关切，着力提升政府信息公开质量，推进拓宽政府信息公开渠道，不断增强政府信息公开实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主动公开</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我县认真贯彻落实省、市有关政务公开工作要求，始终坚持“以公开为常态、不公开为例外”原则，并坚持以市场主体和办事群众需求为导向，着力提高政府信息公开精准度和到达率。</w:t>
      </w:r>
      <w:r>
        <w:rPr>
          <w:rFonts w:hint="eastAsia" w:ascii="宋体" w:hAnsi="宋体" w:eastAsia="宋体" w:cs="宋体"/>
          <w:i w:val="0"/>
          <w:caps w:val="0"/>
          <w:color w:val="333333"/>
          <w:spacing w:val="0"/>
          <w:sz w:val="32"/>
          <w:szCs w:val="32"/>
          <w:shd w:val="clear" w:fill="FFFFFF"/>
        </w:rPr>
        <w:t>20</w:t>
      </w:r>
      <w:r>
        <w:rPr>
          <w:rFonts w:hint="eastAsia" w:ascii="宋体" w:hAnsi="宋体" w:eastAsia="宋体" w:cs="宋体"/>
          <w:i w:val="0"/>
          <w:caps w:val="0"/>
          <w:color w:val="333333"/>
          <w:spacing w:val="0"/>
          <w:sz w:val="32"/>
          <w:szCs w:val="32"/>
          <w:shd w:val="clear" w:fill="FFFFFF"/>
          <w:lang w:val="en-US" w:eastAsia="zh-CN"/>
        </w:rPr>
        <w:t>20</w:t>
      </w:r>
      <w:r>
        <w:rPr>
          <w:rFonts w:hint="eastAsia" w:ascii="宋体" w:hAnsi="宋体" w:eastAsia="宋体" w:cs="宋体"/>
          <w:i w:val="0"/>
          <w:caps w:val="0"/>
          <w:color w:val="333333"/>
          <w:spacing w:val="0"/>
          <w:sz w:val="32"/>
          <w:szCs w:val="32"/>
          <w:shd w:val="clear" w:fill="FFFFFF"/>
        </w:rPr>
        <w:t>年宜丰县政府网站公开信息</w:t>
      </w:r>
      <w:r>
        <w:rPr>
          <w:rFonts w:hint="eastAsia" w:ascii="宋体" w:hAnsi="宋体" w:eastAsia="宋体" w:cs="宋体"/>
          <w:i w:val="0"/>
          <w:caps w:val="0"/>
          <w:color w:val="333333"/>
          <w:spacing w:val="0"/>
          <w:sz w:val="32"/>
          <w:szCs w:val="32"/>
          <w:shd w:val="clear" w:fill="FFFFFF"/>
          <w:lang w:val="en-US" w:eastAsia="zh-CN"/>
        </w:rPr>
        <w:t>15908</w:t>
      </w:r>
      <w:r>
        <w:rPr>
          <w:rFonts w:hint="eastAsia" w:ascii="宋体" w:hAnsi="宋体" w:eastAsia="宋体" w:cs="宋体"/>
          <w:i w:val="0"/>
          <w:caps w:val="0"/>
          <w:color w:val="333333"/>
          <w:spacing w:val="0"/>
          <w:sz w:val="32"/>
          <w:szCs w:val="32"/>
          <w:shd w:val="clear" w:fill="FFFFFF"/>
        </w:rPr>
        <w:t>条，其中宜丰政府网公开信息</w:t>
      </w:r>
      <w:r>
        <w:rPr>
          <w:rFonts w:hint="eastAsia" w:ascii="宋体" w:hAnsi="宋体" w:eastAsia="宋体" w:cs="宋体"/>
          <w:i w:val="0"/>
          <w:caps w:val="0"/>
          <w:color w:val="333333"/>
          <w:spacing w:val="0"/>
          <w:sz w:val="32"/>
          <w:szCs w:val="32"/>
          <w:shd w:val="clear" w:fill="FFFFFF"/>
          <w:lang w:val="en-US" w:eastAsia="zh-CN"/>
        </w:rPr>
        <w:t>6808</w:t>
      </w:r>
      <w:r>
        <w:rPr>
          <w:rFonts w:hint="eastAsia" w:ascii="宋体" w:hAnsi="宋体" w:eastAsia="宋体" w:cs="宋体"/>
          <w:i w:val="0"/>
          <w:caps w:val="0"/>
          <w:color w:val="333333"/>
          <w:spacing w:val="0"/>
          <w:sz w:val="32"/>
          <w:szCs w:val="32"/>
          <w:shd w:val="clear" w:fill="FFFFFF"/>
        </w:rPr>
        <w:t>条，政府信息公开平台公开信息</w:t>
      </w:r>
      <w:r>
        <w:rPr>
          <w:rFonts w:hint="eastAsia" w:ascii="宋体" w:hAnsi="宋体" w:eastAsia="宋体" w:cs="宋体"/>
          <w:i w:val="0"/>
          <w:caps w:val="0"/>
          <w:color w:val="333333"/>
          <w:spacing w:val="0"/>
          <w:sz w:val="32"/>
          <w:szCs w:val="32"/>
          <w:shd w:val="clear" w:fill="FFFFFF"/>
          <w:lang w:val="en-US" w:eastAsia="zh-CN"/>
        </w:rPr>
        <w:t>9100</w:t>
      </w:r>
      <w:r>
        <w:rPr>
          <w:rFonts w:hint="eastAsia" w:ascii="宋体" w:hAnsi="宋体" w:eastAsia="宋体" w:cs="宋体"/>
          <w:i w:val="0"/>
          <w:caps w:val="0"/>
          <w:color w:val="333333"/>
          <w:spacing w:val="0"/>
          <w:sz w:val="32"/>
          <w:szCs w:val="32"/>
          <w:shd w:val="clear" w:fill="FFFFFF"/>
        </w:rPr>
        <w:t>条</w:t>
      </w:r>
      <w:r>
        <w:rPr>
          <w:rFonts w:hint="eastAsia" w:ascii="宋体" w:hAnsi="宋体" w:eastAsia="宋体" w:cs="宋体"/>
          <w:i w:val="0"/>
          <w:caps w:val="0"/>
          <w:color w:val="333333"/>
          <w:spacing w:val="0"/>
          <w:sz w:val="32"/>
          <w:szCs w:val="32"/>
          <w:shd w:val="clear" w:fill="FFFFFF"/>
          <w:lang w:val="en-US" w:eastAsia="zh-CN"/>
        </w:rPr>
        <w:t>。</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深化“五公开”领域信息公开。</w:t>
      </w:r>
    </w:p>
    <w:p>
      <w:pPr>
        <w:widowControl/>
        <w:numPr>
          <w:ilvl w:val="0"/>
          <w:numId w:val="0"/>
        </w:numPr>
        <w:ind w:leftChars="0" w:firstLine="640" w:firstLineChars="20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2020年“五公开”领域发布信息共393条。</w:t>
      </w:r>
      <w:r>
        <w:rPr>
          <w:rFonts w:hint="eastAsia" w:ascii="宋体" w:hAnsi="宋体" w:eastAsia="宋体" w:cs="宋体"/>
          <w:b/>
          <w:bCs/>
          <w:sz w:val="32"/>
          <w:szCs w:val="32"/>
          <w:lang w:val="en-US" w:eastAsia="zh-CN"/>
        </w:rPr>
        <w:t>一是决策公开方面</w:t>
      </w:r>
      <w:r>
        <w:rPr>
          <w:rFonts w:hint="eastAsia" w:ascii="宋体" w:hAnsi="宋体" w:eastAsia="宋体" w:cs="宋体"/>
          <w:sz w:val="32"/>
          <w:szCs w:val="32"/>
          <w:lang w:val="en-US" w:eastAsia="zh-CN"/>
        </w:rPr>
        <w:t>，完善了</w:t>
      </w:r>
      <w:r>
        <w:rPr>
          <w:rFonts w:hint="eastAsia" w:ascii="宋体" w:hAnsi="宋体" w:eastAsia="宋体" w:cs="宋体"/>
          <w:i w:val="0"/>
          <w:caps w:val="0"/>
          <w:color w:val="333333"/>
          <w:spacing w:val="0"/>
          <w:sz w:val="32"/>
          <w:szCs w:val="32"/>
          <w:shd w:val="clear" w:fill="FFFFFF"/>
          <w:lang w:val="en-US" w:eastAsia="zh-CN"/>
        </w:rPr>
        <w:t>重大行政决策法定程序，健全了重大决策预公开制度，</w:t>
      </w:r>
      <w:r>
        <w:rPr>
          <w:rFonts w:hint="eastAsia" w:ascii="宋体" w:hAnsi="宋体" w:eastAsia="宋体" w:cs="宋体"/>
          <w:sz w:val="32"/>
          <w:szCs w:val="32"/>
          <w:lang w:val="en-US" w:eastAsia="zh-CN"/>
        </w:rPr>
        <w:t>制定了政府文件、政府报告、会议开放、意见征集等专栏，及时公开了政府制定的各种规范性文件和常务会等政府会议讨论的内容，对收集到的意见进行整理汇总并公开。</w:t>
      </w:r>
      <w:r>
        <w:rPr>
          <w:rFonts w:hint="eastAsia" w:ascii="宋体" w:hAnsi="宋体" w:eastAsia="宋体" w:cs="宋体"/>
          <w:b/>
          <w:bCs/>
          <w:sz w:val="32"/>
          <w:szCs w:val="32"/>
          <w:lang w:val="en-US" w:eastAsia="zh-CN"/>
        </w:rPr>
        <w:t>二是管理公开方面</w:t>
      </w:r>
      <w:r>
        <w:rPr>
          <w:rFonts w:hint="eastAsia" w:ascii="宋体" w:hAnsi="宋体" w:eastAsia="宋体" w:cs="宋体"/>
          <w:sz w:val="32"/>
          <w:szCs w:val="32"/>
          <w:lang w:val="en-US" w:eastAsia="zh-CN"/>
        </w:rPr>
        <w:t>，</w:t>
      </w:r>
      <w:r>
        <w:rPr>
          <w:rFonts w:hint="eastAsia" w:ascii="宋体" w:hAnsi="宋体" w:eastAsia="宋体" w:cs="宋体"/>
          <w:sz w:val="32"/>
          <w:szCs w:val="32"/>
        </w:rPr>
        <w:t>对本级政府不同事项清单进行集中分类展示,包括权责清单、收费清单、</w:t>
      </w:r>
      <w:r>
        <w:rPr>
          <w:rFonts w:hint="eastAsia" w:ascii="宋体" w:hAnsi="宋体" w:eastAsia="宋体" w:cs="宋体"/>
          <w:sz w:val="32"/>
          <w:szCs w:val="32"/>
          <w:lang w:eastAsia="zh-CN"/>
        </w:rPr>
        <w:t>公共服务</w:t>
      </w:r>
      <w:r>
        <w:rPr>
          <w:rFonts w:hint="eastAsia" w:ascii="宋体" w:hAnsi="宋体" w:eastAsia="宋体" w:cs="宋体"/>
          <w:sz w:val="32"/>
          <w:szCs w:val="32"/>
        </w:rPr>
        <w:t>清单等</w:t>
      </w:r>
      <w:r>
        <w:rPr>
          <w:rFonts w:hint="eastAsia" w:ascii="宋体" w:hAnsi="宋体" w:eastAsia="宋体" w:cs="宋体"/>
          <w:sz w:val="32"/>
          <w:szCs w:val="32"/>
          <w:lang w:eastAsia="zh-CN"/>
        </w:rPr>
        <w:t>，编写了</w:t>
      </w:r>
      <w:r>
        <w:rPr>
          <w:rFonts w:hint="eastAsia" w:ascii="宋体" w:hAnsi="宋体" w:eastAsia="宋体" w:cs="宋体"/>
          <w:sz w:val="32"/>
          <w:szCs w:val="32"/>
          <w:lang w:val="en-US" w:eastAsia="zh-CN"/>
        </w:rPr>
        <w:t>本级政府行政机关机构职能目录并向社会公开，其中内容包含了工作职责、工作依据、实施部门、工作地点和时间、联系方式等内容。</w:t>
      </w:r>
      <w:r>
        <w:rPr>
          <w:rFonts w:hint="eastAsia" w:ascii="宋体" w:hAnsi="宋体" w:eastAsia="宋体" w:cs="宋体"/>
          <w:b/>
          <w:bCs/>
          <w:sz w:val="32"/>
          <w:szCs w:val="32"/>
          <w:lang w:val="en-US" w:eastAsia="zh-CN"/>
        </w:rPr>
        <w:t>三是服务公开方面，</w:t>
      </w:r>
      <w:r>
        <w:rPr>
          <w:rFonts w:hint="eastAsia" w:ascii="宋体" w:hAnsi="宋体" w:eastAsia="宋体" w:cs="宋体"/>
          <w:sz w:val="32"/>
          <w:szCs w:val="32"/>
          <w:lang w:val="en-US" w:eastAsia="zh-CN"/>
        </w:rPr>
        <w:t>加强了“一件事”“一链办”等综合办事信息公开力度，</w:t>
      </w:r>
      <w:r>
        <w:rPr>
          <w:rFonts w:hint="eastAsia" w:ascii="宋体" w:hAnsi="宋体" w:eastAsia="宋体" w:cs="宋体"/>
          <w:b w:val="0"/>
          <w:bCs w:val="0"/>
          <w:color w:val="000000"/>
          <w:kern w:val="0"/>
          <w:sz w:val="32"/>
          <w:szCs w:val="32"/>
          <w:shd w:val="clear" w:color="auto" w:fill="FFFFFF"/>
          <w:lang w:val="en-US" w:eastAsia="zh-CN"/>
        </w:rPr>
        <w:t>我县行政服务中心</w:t>
      </w:r>
      <w:r>
        <w:rPr>
          <w:rFonts w:hint="eastAsia" w:ascii="宋体" w:hAnsi="宋体" w:eastAsia="宋体" w:cs="宋体"/>
          <w:color w:val="000000"/>
          <w:kern w:val="0"/>
          <w:sz w:val="32"/>
          <w:szCs w:val="32"/>
          <w:shd w:val="clear" w:color="auto" w:fill="FFFFFF"/>
        </w:rPr>
        <w:t>建立</w:t>
      </w:r>
      <w:r>
        <w:rPr>
          <w:rFonts w:hint="eastAsia" w:ascii="宋体" w:hAnsi="宋体" w:eastAsia="宋体" w:cs="宋体"/>
          <w:color w:val="000000"/>
          <w:kern w:val="0"/>
          <w:sz w:val="32"/>
          <w:szCs w:val="32"/>
          <w:shd w:val="clear" w:color="auto" w:fill="FFFFFF"/>
          <w:lang w:val="en-US" w:eastAsia="zh-CN"/>
        </w:rPr>
        <w:t>了</w:t>
      </w:r>
      <w:r>
        <w:rPr>
          <w:rFonts w:hint="eastAsia" w:ascii="宋体" w:hAnsi="宋体" w:eastAsia="宋体" w:cs="宋体"/>
          <w:color w:val="000000"/>
          <w:kern w:val="0"/>
          <w:sz w:val="32"/>
          <w:szCs w:val="32"/>
          <w:shd w:val="clear" w:color="auto" w:fill="FFFFFF"/>
        </w:rPr>
        <w:t>“一窗式”大厅政务服务系统</w:t>
      </w:r>
      <w:r>
        <w:rPr>
          <w:rFonts w:hint="eastAsia" w:ascii="宋体" w:hAnsi="宋体" w:eastAsia="宋体" w:cs="宋体"/>
          <w:color w:val="000000"/>
          <w:kern w:val="0"/>
          <w:sz w:val="32"/>
          <w:szCs w:val="32"/>
          <w:shd w:val="clear" w:color="auto" w:fill="FFFFFF"/>
          <w:lang w:eastAsia="zh-CN"/>
        </w:rPr>
        <w:t>。</w:t>
      </w:r>
      <w:r>
        <w:rPr>
          <w:rFonts w:hint="eastAsia" w:ascii="宋体" w:hAnsi="宋体" w:eastAsia="宋体" w:cs="宋体"/>
          <w:b w:val="0"/>
          <w:bCs w:val="0"/>
          <w:color w:val="000000"/>
          <w:kern w:val="0"/>
          <w:sz w:val="32"/>
          <w:szCs w:val="32"/>
          <w:shd w:val="clear" w:color="auto" w:fill="FFFFFF"/>
          <w:lang w:val="en-US" w:eastAsia="zh-CN"/>
        </w:rPr>
        <w:t>目前行政服务中心</w:t>
      </w:r>
      <w:r>
        <w:rPr>
          <w:rFonts w:hint="eastAsia" w:ascii="宋体" w:hAnsi="宋体" w:eastAsia="宋体" w:cs="宋体"/>
          <w:color w:val="000000"/>
          <w:kern w:val="0"/>
          <w:sz w:val="32"/>
          <w:szCs w:val="32"/>
          <w:shd w:val="clear" w:color="auto" w:fill="FFFFFF"/>
        </w:rPr>
        <w:t>大厅所有事项全部通过“一窗式”综合服务平台统一</w:t>
      </w:r>
      <w:r>
        <w:rPr>
          <w:rFonts w:hint="eastAsia" w:ascii="宋体" w:hAnsi="宋体" w:eastAsia="宋体" w:cs="宋体"/>
          <w:sz w:val="32"/>
          <w:szCs w:val="32"/>
          <w:lang w:val="en-US" w:eastAsia="zh-CN"/>
        </w:rPr>
        <w:t>受理，围绕企业和群众办理的高频事项，推动政务服务事项网上办、一次办。在“一窗办”“一次办”的基础上，把分散在不同部门的事项按链条进行优化整合，将“一事一流程”整合为“多事一流程”，推出了《宜丰县行政服务中心“一链办”事项清单》包括10项不动产、商事登记在内的群众急需高频事项。政府网上设立了江西政务服务网宜丰县网址入口，包含了各领域的行政审批，公共服务等方便群众和企业办事的栏目。</w:t>
      </w:r>
      <w:r>
        <w:rPr>
          <w:rFonts w:hint="eastAsia" w:ascii="宋体" w:hAnsi="宋体" w:eastAsia="宋体" w:cs="宋体"/>
          <w:b/>
          <w:bCs/>
          <w:color w:val="000000"/>
          <w:kern w:val="0"/>
          <w:sz w:val="32"/>
          <w:szCs w:val="32"/>
          <w:lang w:eastAsia="zh-CN"/>
        </w:rPr>
        <w:t>四是执行公开方面，</w:t>
      </w:r>
      <w:r>
        <w:rPr>
          <w:rFonts w:hint="eastAsia" w:ascii="宋体" w:hAnsi="宋体" w:eastAsia="宋体" w:cs="宋体"/>
          <w:color w:val="000000"/>
          <w:kern w:val="0"/>
          <w:sz w:val="32"/>
          <w:szCs w:val="32"/>
          <w:lang w:eastAsia="zh-CN"/>
        </w:rPr>
        <w:t>审计信息公开了</w:t>
      </w:r>
      <w:r>
        <w:rPr>
          <w:rFonts w:hint="eastAsia" w:ascii="宋体" w:hAnsi="宋体" w:eastAsia="宋体" w:cs="宋体"/>
          <w:color w:val="000000"/>
          <w:kern w:val="0"/>
          <w:sz w:val="32"/>
          <w:szCs w:val="32"/>
          <w:lang w:eastAsia="zh-CN"/>
        </w:rPr>
        <w:fldChar w:fldCharType="begin"/>
      </w:r>
      <w:r>
        <w:rPr>
          <w:rFonts w:hint="eastAsia" w:ascii="宋体" w:hAnsi="宋体" w:eastAsia="宋体" w:cs="宋体"/>
          <w:color w:val="000000"/>
          <w:kern w:val="0"/>
          <w:sz w:val="32"/>
          <w:szCs w:val="32"/>
          <w:lang w:eastAsia="zh-CN"/>
        </w:rPr>
        <w:instrText xml:space="preserve"> HYPERLINK "http://www.jxyf.gov.cn/news-show-35855.html" \t "http://www.jxyf.gov.cn/_blank" </w:instrText>
      </w:r>
      <w:r>
        <w:rPr>
          <w:rFonts w:hint="eastAsia" w:ascii="宋体" w:hAnsi="宋体" w:eastAsia="宋体" w:cs="宋体"/>
          <w:color w:val="000000"/>
          <w:kern w:val="0"/>
          <w:sz w:val="32"/>
          <w:szCs w:val="32"/>
          <w:lang w:eastAsia="zh-CN"/>
        </w:rPr>
        <w:fldChar w:fldCharType="separate"/>
      </w:r>
      <w:r>
        <w:rPr>
          <w:rFonts w:hint="eastAsia" w:ascii="宋体" w:hAnsi="宋体" w:eastAsia="宋体" w:cs="宋体"/>
          <w:color w:val="000000"/>
          <w:kern w:val="0"/>
          <w:sz w:val="32"/>
          <w:szCs w:val="32"/>
          <w:lang w:eastAsia="zh-CN"/>
        </w:rPr>
        <w:t>县本级预算执行和其他财政收支审计工作报告和查出问题整改情况的报告</w:t>
      </w:r>
      <w:r>
        <w:rPr>
          <w:rFonts w:hint="eastAsia" w:ascii="宋体" w:hAnsi="宋体" w:eastAsia="宋体" w:cs="宋体"/>
          <w:color w:val="000000"/>
          <w:kern w:val="0"/>
          <w:sz w:val="32"/>
          <w:szCs w:val="32"/>
          <w:lang w:eastAsia="zh-CN"/>
        </w:rPr>
        <w:fldChar w:fldCharType="end"/>
      </w:r>
      <w:r>
        <w:rPr>
          <w:rFonts w:hint="eastAsia" w:ascii="宋体" w:hAnsi="宋体" w:eastAsia="宋体" w:cs="宋体"/>
          <w:color w:val="000000"/>
          <w:kern w:val="0"/>
          <w:sz w:val="32"/>
          <w:szCs w:val="32"/>
          <w:lang w:eastAsia="zh-CN"/>
        </w:rPr>
        <w:t>等，统计信息公开了全县主要经济指标。完善了政府重点工作、重大决策执行效果和行政执法等方面信息的公开内容。</w:t>
      </w:r>
      <w:bookmarkStart w:id="0" w:name="_GoBack"/>
      <w:bookmarkEnd w:id="0"/>
      <w:r>
        <w:rPr>
          <w:rFonts w:hint="eastAsia" w:ascii="宋体" w:hAnsi="宋体" w:eastAsia="宋体" w:cs="宋体"/>
          <w:b/>
          <w:bCs/>
          <w:color w:val="000000"/>
          <w:kern w:val="0"/>
          <w:sz w:val="32"/>
          <w:szCs w:val="32"/>
          <w:shd w:val="clear" w:color="auto" w:fill="FFFFFF"/>
          <w:lang w:eastAsia="zh-CN"/>
        </w:rPr>
        <w:t>五是结果公开方面</w:t>
      </w:r>
      <w:r>
        <w:rPr>
          <w:rFonts w:hint="eastAsia" w:ascii="宋体" w:hAnsi="宋体" w:eastAsia="宋体" w:cs="宋体"/>
          <w:color w:val="000000"/>
          <w:kern w:val="0"/>
          <w:sz w:val="32"/>
          <w:szCs w:val="32"/>
          <w:shd w:val="clear" w:color="auto" w:fill="FFFFFF"/>
          <w:lang w:eastAsia="zh-CN"/>
        </w:rPr>
        <w:t>，</w:t>
      </w:r>
      <w:r>
        <w:rPr>
          <w:rFonts w:hint="eastAsia" w:ascii="宋体" w:hAnsi="宋体" w:eastAsia="宋体" w:cs="宋体"/>
          <w:sz w:val="32"/>
          <w:szCs w:val="32"/>
          <w:lang w:eastAsia="zh-CN"/>
        </w:rPr>
        <w:t>定期公开了《政府工作报告》重点任务、民生实事项目、重大工程项目的执行情况，</w:t>
      </w:r>
      <w:r>
        <w:rPr>
          <w:rFonts w:hint="eastAsia" w:ascii="宋体" w:hAnsi="宋体" w:eastAsia="宋体" w:cs="宋体"/>
          <w:color w:val="000000"/>
          <w:kern w:val="0"/>
          <w:sz w:val="32"/>
          <w:szCs w:val="32"/>
          <w:lang w:eastAsia="zh-CN"/>
        </w:rPr>
        <w:t>在政府网站政府信息公开专栏设置了建议提案公开子栏目，及时公开了政协提案的答复内容。</w:t>
      </w:r>
    </w:p>
    <w:p>
      <w:pPr>
        <w:keepNext w:val="0"/>
        <w:keepLines w:val="0"/>
        <w:pageBreakBefore w:val="0"/>
        <w:widowControl w:val="0"/>
        <w:numPr>
          <w:ilvl w:val="0"/>
          <w:numId w:val="3"/>
        </w:numPr>
        <w:kinsoku/>
        <w:overflowPunct/>
        <w:topLinePunct w:val="0"/>
        <w:autoSpaceDE/>
        <w:autoSpaceDN/>
        <w:bidi w:val="0"/>
        <w:adjustRightInd w:val="0"/>
        <w:snapToGrid w:val="0"/>
        <w:spacing w:line="58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深化三大领域信息公开</w:t>
      </w:r>
    </w:p>
    <w:p>
      <w:pPr>
        <w:widowControl/>
        <w:numPr>
          <w:ilvl w:val="0"/>
          <w:numId w:val="0"/>
        </w:numPr>
        <w:ind w:leftChars="0" w:firstLine="640" w:firstLineChars="200"/>
        <w:jc w:val="left"/>
        <w:rPr>
          <w:rFonts w:hint="eastAsia" w:asciiTheme="minorEastAsia" w:hAnsiTheme="minorEastAsia" w:eastAsiaTheme="minorEastAsia" w:cstheme="minorEastAsia"/>
          <w:color w:val="000000"/>
          <w:kern w:val="0"/>
          <w:sz w:val="32"/>
          <w:szCs w:val="32"/>
          <w:lang w:eastAsia="zh-CN"/>
        </w:rPr>
      </w:pPr>
      <w:r>
        <w:rPr>
          <w:rFonts w:hint="eastAsia" w:asciiTheme="minorEastAsia" w:hAnsiTheme="minorEastAsia" w:eastAsiaTheme="minorEastAsia" w:cstheme="minorEastAsia"/>
          <w:color w:val="000000"/>
          <w:kern w:val="0"/>
          <w:sz w:val="32"/>
          <w:szCs w:val="32"/>
          <w:lang w:val="en-US" w:eastAsia="zh-CN"/>
        </w:rPr>
        <w:t>2020年</w:t>
      </w:r>
      <w:r>
        <w:rPr>
          <w:rFonts w:hint="eastAsia" w:asciiTheme="minorEastAsia" w:hAnsiTheme="minorEastAsia" w:eastAsiaTheme="minorEastAsia" w:cstheme="minorEastAsia"/>
          <w:color w:val="000000"/>
          <w:kern w:val="0"/>
          <w:sz w:val="32"/>
          <w:szCs w:val="32"/>
          <w:lang w:eastAsia="zh-CN"/>
        </w:rPr>
        <w:t>，围绕重大建设项目批准和实施,发布推进重大建设项目信息</w:t>
      </w:r>
      <w:r>
        <w:rPr>
          <w:rFonts w:hint="eastAsia" w:asciiTheme="minorEastAsia" w:hAnsiTheme="minorEastAsia" w:eastAsiaTheme="minorEastAsia" w:cstheme="minorEastAsia"/>
          <w:color w:val="000000"/>
          <w:kern w:val="0"/>
          <w:sz w:val="32"/>
          <w:szCs w:val="32"/>
          <w:lang w:val="en-US" w:eastAsia="zh-CN"/>
        </w:rPr>
        <w:t>149</w:t>
      </w:r>
      <w:r>
        <w:rPr>
          <w:rFonts w:hint="eastAsia" w:asciiTheme="minorEastAsia" w:hAnsiTheme="minorEastAsia" w:eastAsiaTheme="minorEastAsia" w:cstheme="minorEastAsia"/>
          <w:color w:val="000000"/>
          <w:kern w:val="0"/>
          <w:sz w:val="32"/>
          <w:szCs w:val="32"/>
          <w:lang w:eastAsia="zh-CN"/>
        </w:rPr>
        <w:t>条;以优化公共资源配置为中心，发布住房保障、国有土地使用权出让、工程招投标、公共资源交易等信息</w:t>
      </w:r>
      <w:r>
        <w:rPr>
          <w:rFonts w:hint="eastAsia" w:asciiTheme="minorEastAsia" w:hAnsiTheme="minorEastAsia" w:eastAsiaTheme="minorEastAsia" w:cstheme="minorEastAsia"/>
          <w:color w:val="000000"/>
          <w:kern w:val="0"/>
          <w:sz w:val="32"/>
          <w:szCs w:val="32"/>
          <w:lang w:val="en-US" w:eastAsia="zh-CN"/>
        </w:rPr>
        <w:t>567</w:t>
      </w:r>
      <w:r>
        <w:rPr>
          <w:rFonts w:hint="eastAsia" w:asciiTheme="minorEastAsia" w:hAnsiTheme="minorEastAsia" w:eastAsiaTheme="minorEastAsia" w:cstheme="minorEastAsia"/>
          <w:color w:val="000000"/>
          <w:kern w:val="0"/>
          <w:sz w:val="32"/>
          <w:szCs w:val="32"/>
          <w:lang w:eastAsia="zh-CN"/>
        </w:rPr>
        <w:t>条;发布深入推进扶贫、社会救助和社会福利、养老保险、教育、医疗、环境保护、食品药品、公共文化等社会公益事业建设领域信息</w:t>
      </w:r>
      <w:r>
        <w:rPr>
          <w:rFonts w:hint="eastAsia" w:asciiTheme="minorEastAsia" w:hAnsiTheme="minorEastAsia" w:eastAsiaTheme="minorEastAsia" w:cstheme="minorEastAsia"/>
          <w:color w:val="000000"/>
          <w:kern w:val="0"/>
          <w:sz w:val="32"/>
          <w:szCs w:val="32"/>
          <w:lang w:val="en-US" w:eastAsia="zh-CN"/>
        </w:rPr>
        <w:t>323</w:t>
      </w:r>
      <w:r>
        <w:rPr>
          <w:rFonts w:hint="eastAsia" w:asciiTheme="minorEastAsia" w:hAnsiTheme="minorEastAsia" w:eastAsiaTheme="minorEastAsia" w:cstheme="minorEastAsia"/>
          <w:color w:val="000000"/>
          <w:kern w:val="0"/>
          <w:sz w:val="32"/>
          <w:szCs w:val="32"/>
          <w:lang w:eastAsia="zh-CN"/>
        </w:rPr>
        <w:t>条。</w:t>
      </w:r>
    </w:p>
    <w:p>
      <w:pPr>
        <w:keepNext w:val="0"/>
        <w:keepLines w:val="0"/>
        <w:pageBreakBefore w:val="0"/>
        <w:widowControl w:val="0"/>
        <w:numPr>
          <w:ilvl w:val="0"/>
          <w:numId w:val="3"/>
        </w:numPr>
        <w:kinsoku/>
        <w:overflowPunct/>
        <w:topLinePunct w:val="0"/>
        <w:autoSpaceDE/>
        <w:autoSpaceDN/>
        <w:bidi w:val="0"/>
        <w:adjustRightInd w:val="0"/>
        <w:snapToGrid w:val="0"/>
        <w:spacing w:line="580" w:lineRule="exact"/>
        <w:ind w:left="0" w:leftChars="0"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深化</w:t>
      </w:r>
      <w:r>
        <w:rPr>
          <w:rFonts w:hint="eastAsia" w:ascii="宋体" w:hAnsi="宋体" w:eastAsia="宋体" w:cs="宋体"/>
          <w:b/>
          <w:bCs/>
          <w:sz w:val="32"/>
          <w:szCs w:val="32"/>
          <w:lang w:eastAsia="zh-CN"/>
        </w:rPr>
        <w:t>专题领域</w:t>
      </w:r>
      <w:r>
        <w:rPr>
          <w:rFonts w:hint="eastAsia" w:ascii="宋体" w:hAnsi="宋体" w:eastAsia="宋体" w:cs="宋体"/>
          <w:b/>
          <w:bCs/>
          <w:sz w:val="32"/>
          <w:szCs w:val="32"/>
        </w:rPr>
        <w:t>信息公开</w:t>
      </w:r>
    </w:p>
    <w:p>
      <w:pPr>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聚焦</w:t>
      </w:r>
      <w:r>
        <w:rPr>
          <w:rFonts w:hint="eastAsia" w:ascii="宋体" w:hAnsi="宋体" w:eastAsia="宋体" w:cs="宋体"/>
          <w:sz w:val="32"/>
          <w:szCs w:val="32"/>
          <w:lang w:eastAsia="zh-CN"/>
        </w:rPr>
        <w:t>抗击疫情，五型政府建设，扫黑除恶，营商环境，“六稳”“六保”，创文明城等重点中心工作，在县政府门户网站开设了专栏。</w:t>
      </w:r>
      <w:r>
        <w:rPr>
          <w:rFonts w:hint="eastAsia" w:ascii="宋体" w:hAnsi="宋体" w:eastAsia="宋体" w:cs="宋体"/>
          <w:sz w:val="32"/>
          <w:szCs w:val="32"/>
          <w:lang w:val="en-US" w:eastAsia="zh-CN"/>
        </w:rPr>
        <w:t>2020年专题栏目下共发布信息383条，</w:t>
      </w:r>
      <w:r>
        <w:rPr>
          <w:rFonts w:hint="eastAsia" w:ascii="宋体" w:hAnsi="宋体" w:eastAsia="宋体" w:cs="宋体"/>
          <w:sz w:val="32"/>
          <w:szCs w:val="32"/>
          <w:lang w:eastAsia="zh-CN"/>
        </w:rPr>
        <w:t>及时对有关政策、工作开展情况、结果等进行公开，让公众第一时间了解政府重点中心工作的实时动态。</w:t>
      </w:r>
    </w:p>
    <w:p>
      <w:pPr>
        <w:ind w:firstLine="640" w:firstLineChars="200"/>
        <w:rPr>
          <w:rFonts w:hint="eastAsia" w:ascii="宋体" w:hAnsi="宋体" w:eastAsia="宋体" w:cs="宋体"/>
          <w:color w:val="000000"/>
          <w:kern w:val="0"/>
          <w:sz w:val="32"/>
          <w:szCs w:val="32"/>
          <w:lang w:eastAsia="zh-CN"/>
        </w:rPr>
      </w:pPr>
      <w:r>
        <w:rPr>
          <w:rFonts w:hint="eastAsia" w:ascii="宋体" w:hAnsi="宋体" w:eastAsia="宋体" w:cs="宋体"/>
          <w:sz w:val="32"/>
          <w:szCs w:val="32"/>
          <w:lang w:val="en-US" w:eastAsia="zh-CN"/>
        </w:rPr>
        <w:t>疫情信息发布方面，依法做好了疫情防控常态化下的疫情信息发布工作，通过</w:t>
      </w:r>
      <w:r>
        <w:rPr>
          <w:rFonts w:hint="eastAsia" w:ascii="宋体" w:hAnsi="宋体" w:eastAsia="宋体" w:cs="宋体"/>
          <w:color w:val="000000"/>
          <w:kern w:val="0"/>
          <w:sz w:val="32"/>
          <w:szCs w:val="32"/>
          <w:lang w:eastAsia="zh-CN"/>
        </w:rPr>
        <w:t>运用政府网站、新闻发布会、政务新媒体全方位解读党中央、国务院关于疫情防控的重大决策部署和本地区重要工作举措，以及应对处置工作进展情况。</w:t>
      </w:r>
    </w:p>
    <w:p>
      <w:pPr>
        <w:pStyle w:val="2"/>
        <w:ind w:firstLine="560"/>
        <w:rPr>
          <w:rFonts w:hint="eastAsia" w:ascii="宋体" w:hAnsi="宋体" w:eastAsia="宋体" w:cs="宋体"/>
          <w:sz w:val="32"/>
          <w:szCs w:val="32"/>
          <w:lang w:eastAsia="zh-CN"/>
        </w:rPr>
      </w:pPr>
      <w:r>
        <w:rPr>
          <w:rFonts w:hint="eastAsia" w:ascii="宋体" w:hAnsi="宋体" w:eastAsia="宋体" w:cs="宋体"/>
          <w:sz w:val="32"/>
          <w:szCs w:val="32"/>
          <w:lang w:eastAsia="zh-CN"/>
        </w:rPr>
        <w:t>“六稳”“六保”方面，及时发布了“六稳”“六保”各项政策举措，主动回应经济社会热点问题，主动公开工作情况汇报和工作总结。</w:t>
      </w:r>
    </w:p>
    <w:p>
      <w:pPr>
        <w:pStyle w:val="2"/>
        <w:ind w:firstLine="56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营商环境方面，出台了《宜丰县2020年优化营商环境专项整治行动工作实施方案》、《关于开展2020年宜丰县营商环境评价暨企业、群众“评机关、评岗位”工作实施方案》、《宜丰县“营商环境提升年”行动宣传活动实施方案》等重要政策文件，并对文件做好了相关解读。为推进宜丰经济社会发展，帮助在宜企业快速了解、用好用足政策，从企业实际需求出发，对涉及宜丰县各职能部门的国家、省、市、县四级惠企政策进行了全面梳理。定期发布了优化营商环境|宜丰县惠企政策摘录，每一条惠企政策都以办事指南形式呈现，明确了优惠待遇、申请途径、申请材料、办理流程、政策时限、办理人员和联系方式等详细信息。</w:t>
      </w:r>
    </w:p>
    <w:p>
      <w:pPr>
        <w:keepNext w:val="0"/>
        <w:keepLines w:val="0"/>
        <w:pageBreakBefore w:val="0"/>
        <w:widowControl w:val="0"/>
        <w:numPr>
          <w:ilvl w:val="0"/>
          <w:numId w:val="3"/>
        </w:numPr>
        <w:kinsoku/>
        <w:overflowPunct/>
        <w:topLinePunct w:val="0"/>
        <w:autoSpaceDE/>
        <w:autoSpaceDN/>
        <w:bidi w:val="0"/>
        <w:adjustRightInd w:val="0"/>
        <w:snapToGrid w:val="0"/>
        <w:spacing w:line="580" w:lineRule="exact"/>
        <w:ind w:left="0" w:leftChars="0"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加强政策解读</w:t>
      </w:r>
    </w:p>
    <w:p>
      <w:pPr>
        <w:keepNext w:val="0"/>
        <w:keepLines w:val="0"/>
        <w:pageBreakBefore w:val="0"/>
        <w:widowControl w:val="0"/>
        <w:numPr>
          <w:ilvl w:val="0"/>
          <w:numId w:val="0"/>
        </w:numPr>
        <w:kinsoku/>
        <w:overflowPunct/>
        <w:topLinePunct w:val="0"/>
        <w:autoSpaceDE/>
        <w:autoSpaceDN/>
        <w:bidi w:val="0"/>
        <w:adjustRightInd w:val="0"/>
        <w:snapToGrid w:val="0"/>
        <w:spacing w:line="580" w:lineRule="exact"/>
        <w:ind w:leftChars="20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坚持“应解读尽解读”“谁起草谁解读”的原则，认真落实“解读方案、解读材料与政策文件同步组织、同步审签、同步部署”的工作机制。在</w:t>
      </w:r>
      <w:r>
        <w:rPr>
          <w:rFonts w:hint="eastAsia" w:ascii="宋体" w:hAnsi="宋体" w:eastAsia="宋体" w:cs="宋体"/>
          <w:sz w:val="32"/>
          <w:szCs w:val="32"/>
          <w:lang w:eastAsia="zh-CN"/>
        </w:rPr>
        <w:t>县</w:t>
      </w:r>
      <w:r>
        <w:rPr>
          <w:rFonts w:hint="eastAsia" w:ascii="宋体" w:hAnsi="宋体" w:eastAsia="宋体" w:cs="宋体"/>
          <w:sz w:val="32"/>
          <w:szCs w:val="32"/>
        </w:rPr>
        <w:t>政府门户网站设置“政策解读”专栏，分类展示解读内容。</w:t>
      </w:r>
      <w:r>
        <w:rPr>
          <w:rFonts w:hint="eastAsia" w:ascii="宋体" w:hAnsi="宋体" w:eastAsia="宋体" w:cs="宋体"/>
          <w:i w:val="0"/>
          <w:caps w:val="0"/>
          <w:color w:val="333333"/>
          <w:spacing w:val="0"/>
          <w:sz w:val="32"/>
          <w:szCs w:val="32"/>
        </w:rPr>
        <w:t>采用“一图读懂”等方式，梳理政策“干货”、制作政策图解，有机关联政策文件、解读材料</w:t>
      </w:r>
      <w:r>
        <w:rPr>
          <w:rFonts w:hint="eastAsia" w:ascii="宋体" w:hAnsi="宋体" w:eastAsia="宋体" w:cs="宋体"/>
          <w:i w:val="0"/>
          <w:caps w:val="0"/>
          <w:color w:val="333333"/>
          <w:spacing w:val="0"/>
          <w:sz w:val="32"/>
          <w:szCs w:val="32"/>
          <w:lang w:eastAsia="zh-CN"/>
        </w:rPr>
        <w:t>，</w:t>
      </w:r>
      <w:r>
        <w:rPr>
          <w:rFonts w:hint="eastAsia" w:ascii="宋体" w:hAnsi="宋体" w:eastAsia="宋体" w:cs="宋体"/>
          <w:sz w:val="32"/>
          <w:szCs w:val="32"/>
        </w:rPr>
        <w:t>全面实现文件与解读直接关联，公众在查看文件的同时，可链接到对应解读材料，在解读栏目也可回看相应的政策文件。</w:t>
      </w:r>
      <w:r>
        <w:rPr>
          <w:rFonts w:hint="eastAsia" w:ascii="宋体" w:hAnsi="宋体" w:eastAsia="宋体" w:cs="宋体"/>
          <w:sz w:val="32"/>
          <w:szCs w:val="32"/>
          <w:lang w:val="en-US" w:eastAsia="zh-CN"/>
        </w:rPr>
        <w:t>积极探索</w:t>
      </w:r>
      <w:r>
        <w:rPr>
          <w:rFonts w:hint="eastAsia" w:ascii="宋体" w:hAnsi="宋体" w:eastAsia="宋体" w:cs="宋体"/>
          <w:sz w:val="32"/>
          <w:szCs w:val="32"/>
          <w:lang w:eastAsia="zh-CN"/>
        </w:rPr>
        <w:t>县</w:t>
      </w:r>
      <w:r>
        <w:rPr>
          <w:rFonts w:hint="eastAsia" w:ascii="宋体" w:hAnsi="宋体" w:eastAsia="宋体" w:cs="宋体"/>
          <w:sz w:val="32"/>
          <w:szCs w:val="32"/>
        </w:rPr>
        <w:t>政府工作报告、</w:t>
      </w:r>
      <w:r>
        <w:rPr>
          <w:rFonts w:hint="eastAsia" w:ascii="宋体" w:hAnsi="宋体" w:eastAsia="宋体" w:cs="宋体"/>
          <w:sz w:val="32"/>
          <w:szCs w:val="32"/>
          <w:lang w:eastAsia="zh-CN"/>
        </w:rPr>
        <w:t>县</w:t>
      </w:r>
      <w:r>
        <w:rPr>
          <w:rFonts w:hint="eastAsia" w:ascii="宋体" w:hAnsi="宋体" w:eastAsia="宋体" w:cs="宋体"/>
          <w:sz w:val="32"/>
          <w:szCs w:val="32"/>
        </w:rPr>
        <w:t>政府常务会议议定情况、重大民生政策等图片、视频等解读</w:t>
      </w:r>
      <w:r>
        <w:rPr>
          <w:rFonts w:hint="eastAsia" w:ascii="宋体" w:hAnsi="宋体" w:eastAsia="宋体" w:cs="宋体"/>
          <w:sz w:val="32"/>
          <w:szCs w:val="32"/>
          <w:lang w:eastAsia="zh-CN"/>
        </w:rPr>
        <w:t>方式，全年共围绕县政府重</w:t>
      </w:r>
      <w:r>
        <w:rPr>
          <w:rFonts w:hint="eastAsia" w:ascii="宋体" w:hAnsi="宋体" w:eastAsia="宋体" w:cs="宋体"/>
          <w:sz w:val="32"/>
          <w:szCs w:val="32"/>
        </w:rPr>
        <w:t>大决策部署和重要民生事项</w:t>
      </w:r>
      <w:r>
        <w:rPr>
          <w:rFonts w:hint="eastAsia" w:ascii="宋体" w:hAnsi="宋体" w:eastAsia="宋体" w:cs="宋体"/>
          <w:sz w:val="32"/>
          <w:szCs w:val="32"/>
          <w:lang w:eastAsia="zh-CN"/>
        </w:rPr>
        <w:t>梳理出系列</w:t>
      </w:r>
      <w:r>
        <w:rPr>
          <w:rFonts w:hint="eastAsia" w:ascii="宋体" w:hAnsi="宋体" w:eastAsia="宋体" w:cs="宋体"/>
          <w:sz w:val="32"/>
          <w:szCs w:val="32"/>
          <w:lang w:val="en-US" w:eastAsia="zh-CN"/>
        </w:rPr>
        <w:t>篇政策文件，编制发布图解、视频等政策解读</w:t>
      </w:r>
      <w:r>
        <w:rPr>
          <w:rFonts w:hint="eastAsia" w:ascii="宋体" w:hAnsi="宋体" w:eastAsia="宋体" w:cs="宋体"/>
          <w:color w:val="FF0000"/>
          <w:sz w:val="32"/>
          <w:szCs w:val="32"/>
          <w:lang w:val="en-US" w:eastAsia="zh-CN"/>
        </w:rPr>
        <w:t>48</w:t>
      </w:r>
      <w:r>
        <w:rPr>
          <w:rFonts w:hint="eastAsia" w:ascii="宋体" w:hAnsi="宋体" w:eastAsia="宋体" w:cs="宋体"/>
          <w:sz w:val="32"/>
          <w:szCs w:val="32"/>
          <w:lang w:val="en-US" w:eastAsia="zh-CN"/>
        </w:rPr>
        <w:t>条。</w:t>
      </w:r>
    </w:p>
    <w:p>
      <w:pPr>
        <w:pStyle w:val="2"/>
        <w:rPr>
          <w:rFonts w:hint="eastAsia"/>
          <w:lang w:val="en-US" w:eastAsia="zh-CN"/>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caps w:val="0"/>
          <w:color w:val="333333"/>
          <w:spacing w:val="0"/>
          <w:sz w:val="32"/>
          <w:szCs w:val="32"/>
          <w:shd w:val="clear" w:fill="FFFFFF"/>
          <w:lang w:eastAsia="zh-CN"/>
        </w:rPr>
      </w:pPr>
      <w:r>
        <w:rPr>
          <w:rFonts w:hint="eastAsia" w:ascii="宋体" w:hAnsi="宋体" w:eastAsia="宋体" w:cs="宋体"/>
          <w:b/>
          <w:bCs/>
          <w:i w:val="0"/>
          <w:caps w:val="0"/>
          <w:color w:val="333333"/>
          <w:spacing w:val="0"/>
          <w:sz w:val="32"/>
          <w:szCs w:val="32"/>
          <w:shd w:val="clear" w:fill="FFFFFF"/>
          <w:lang w:eastAsia="zh-CN"/>
        </w:rPr>
        <w:t>依申请公开</w:t>
      </w:r>
    </w:p>
    <w:p>
      <w:pPr>
        <w:pStyle w:val="2"/>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依据新条例完善相关依申请公开的程序规定，及时调整完善相关配套措施，做好衔接过渡工作。按依申请公开“七要素”规范答复内容，建立健全接收、登记、办理、答复等流程，加强与法制部门、法律顾问及相关部门的会商，避免不必要的争端争议。实行“三步法”依申请公开办件流程，即：收件登记下发调度-汇总撰写答复书-分类整理归档，通过三步流程形成一个闭环，确保依申请公开信件答复的及时性和准确性。今年共收到依申请公开类信</w:t>
      </w:r>
      <w:r>
        <w:rPr>
          <w:rFonts w:hint="eastAsia" w:ascii="宋体" w:hAnsi="宋体" w:eastAsia="宋体" w:cs="宋体"/>
          <w:color w:val="auto"/>
          <w:sz w:val="32"/>
          <w:szCs w:val="32"/>
          <w:lang w:val="en-US" w:eastAsia="zh-CN"/>
        </w:rPr>
        <w:t>件</w:t>
      </w:r>
      <w:r>
        <w:rPr>
          <w:rFonts w:hint="eastAsia" w:ascii="宋体" w:hAnsi="宋体" w:eastAsia="宋体" w:cs="宋体"/>
          <w:color w:val="FF0000"/>
          <w:sz w:val="32"/>
          <w:szCs w:val="32"/>
          <w:lang w:val="en-US" w:eastAsia="zh-CN"/>
        </w:rPr>
        <w:t>23件</w:t>
      </w:r>
      <w:r>
        <w:rPr>
          <w:rFonts w:hint="eastAsia" w:ascii="宋体" w:hAnsi="宋体" w:eastAsia="宋体" w:cs="宋体"/>
          <w:sz w:val="32"/>
          <w:szCs w:val="32"/>
          <w:lang w:val="en-US" w:eastAsia="zh-CN"/>
        </w:rPr>
        <w:t>，依法依规按时答复率100%。</w:t>
      </w:r>
    </w:p>
    <w:p>
      <w:pPr>
        <w:pStyle w:val="2"/>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ascii="宋体" w:hAnsi="宋体" w:eastAsia="宋体" w:cs="宋体"/>
          <w:sz w:val="32"/>
          <w:szCs w:val="32"/>
          <w:lang w:val="en-US" w:eastAsia="zh-CN"/>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caps w:val="0"/>
          <w:color w:val="333333"/>
          <w:spacing w:val="0"/>
          <w:sz w:val="32"/>
          <w:szCs w:val="32"/>
          <w:shd w:val="clear" w:fill="FFFFFF"/>
          <w:lang w:eastAsia="zh-CN"/>
        </w:rPr>
      </w:pPr>
      <w:r>
        <w:rPr>
          <w:rFonts w:hint="eastAsia" w:ascii="宋体" w:hAnsi="宋体" w:eastAsia="宋体" w:cs="宋体"/>
          <w:b/>
          <w:bCs/>
          <w:i w:val="0"/>
          <w:caps w:val="0"/>
          <w:color w:val="333333"/>
          <w:spacing w:val="0"/>
          <w:sz w:val="32"/>
          <w:szCs w:val="32"/>
          <w:shd w:val="clear" w:fill="FFFFFF"/>
          <w:lang w:eastAsia="zh-CN"/>
        </w:rPr>
        <w:t>政府信息管理</w:t>
      </w:r>
    </w:p>
    <w:p>
      <w:pPr>
        <w:keepNext w:val="0"/>
        <w:keepLines w:val="0"/>
        <w:pageBreakBefore w:val="0"/>
        <w:widowControl w:val="0"/>
        <w:kinsoku/>
        <w:overflowPunct/>
        <w:topLinePunct w:val="0"/>
        <w:autoSpaceDE/>
        <w:autoSpaceDN/>
        <w:bidi w:val="0"/>
        <w:snapToGrid w:val="0"/>
        <w:spacing w:line="580" w:lineRule="exact"/>
        <w:ind w:firstLine="640" w:firstLineChars="200"/>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eastAsia="zh-CN"/>
        </w:rPr>
        <w:t>一是加强政务公开规范化标准化建设，出台了</w:t>
      </w:r>
      <w:r>
        <w:rPr>
          <w:rFonts w:hint="eastAsia" w:ascii="宋体" w:hAnsi="宋体" w:eastAsia="宋体" w:cs="宋体"/>
          <w:i w:val="0"/>
          <w:caps w:val="0"/>
          <w:color w:val="000000"/>
          <w:spacing w:val="30"/>
          <w:sz w:val="32"/>
          <w:szCs w:val="32"/>
          <w:shd w:val="clear" w:fill="FFFFFF"/>
        </w:rPr>
        <w:t>《宜丰县全面推进政务公开标准化规范化工作的实施方案》</w:t>
      </w:r>
      <w:r>
        <w:rPr>
          <w:rFonts w:hint="eastAsia" w:ascii="宋体" w:hAnsi="宋体" w:eastAsia="宋体" w:cs="宋体"/>
          <w:i w:val="0"/>
          <w:caps w:val="0"/>
          <w:color w:val="000000"/>
          <w:spacing w:val="30"/>
          <w:sz w:val="32"/>
          <w:szCs w:val="32"/>
          <w:shd w:val="clear" w:fill="FFFFFF"/>
          <w:lang w:eastAsia="zh-CN"/>
        </w:rPr>
        <w:t>并进行了政策解读，</w:t>
      </w:r>
      <w:r>
        <w:rPr>
          <w:rFonts w:hint="eastAsia" w:ascii="宋体" w:hAnsi="宋体" w:eastAsia="宋体" w:cs="宋体"/>
          <w:sz w:val="32"/>
          <w:szCs w:val="32"/>
        </w:rPr>
        <w:t>从全面落实试点领域标准指引、规范工作流程、规范基层政务公开平台、完善健全工作机制、推动基层政务公开标准化规范化向农村和社区延伸，进行了详细安排部署</w:t>
      </w:r>
      <w:r>
        <w:rPr>
          <w:rFonts w:hint="eastAsia" w:ascii="宋体" w:hAnsi="宋体" w:eastAsia="宋体" w:cs="宋体"/>
          <w:i w:val="0"/>
          <w:caps w:val="0"/>
          <w:color w:val="000000"/>
          <w:spacing w:val="30"/>
          <w:sz w:val="32"/>
          <w:szCs w:val="32"/>
          <w:shd w:val="clear" w:fill="FFFFFF"/>
          <w:lang w:eastAsia="zh-CN"/>
        </w:rPr>
        <w:t>。政府网开设了基层政务公开专栏，内容包含了相关政策文件、工作推进情况、国办和本县、各乡镇政务公开标准目录下载、</w:t>
      </w:r>
      <w:r>
        <w:rPr>
          <w:rFonts w:hint="eastAsia" w:ascii="宋体" w:hAnsi="宋体" w:eastAsia="宋体" w:cs="宋体"/>
          <w:i w:val="0"/>
          <w:caps w:val="0"/>
          <w:color w:val="333333"/>
          <w:spacing w:val="0"/>
          <w:sz w:val="32"/>
          <w:szCs w:val="32"/>
          <w:shd w:val="clear" w:fill="FFFFFF"/>
        </w:rPr>
        <w:t>26个试点领域</w:t>
      </w:r>
      <w:r>
        <w:rPr>
          <w:rFonts w:hint="eastAsia" w:ascii="宋体" w:hAnsi="宋体" w:eastAsia="宋体" w:cs="宋体"/>
          <w:i w:val="0"/>
          <w:caps w:val="0"/>
          <w:color w:val="333333"/>
          <w:spacing w:val="0"/>
          <w:sz w:val="32"/>
          <w:szCs w:val="32"/>
          <w:shd w:val="clear" w:fill="FFFFFF"/>
          <w:lang w:eastAsia="zh-CN"/>
        </w:rPr>
        <w:t>基层政务公开</w:t>
      </w:r>
      <w:r>
        <w:rPr>
          <w:rFonts w:hint="eastAsia" w:ascii="宋体" w:hAnsi="宋体" w:eastAsia="宋体" w:cs="宋体"/>
          <w:i w:val="0"/>
          <w:caps w:val="0"/>
          <w:color w:val="333333"/>
          <w:spacing w:val="0"/>
          <w:sz w:val="32"/>
          <w:szCs w:val="32"/>
          <w:shd w:val="clear" w:fill="FFFFFF"/>
        </w:rPr>
        <w:t>标准指引</w:t>
      </w:r>
      <w:r>
        <w:rPr>
          <w:rFonts w:hint="eastAsia" w:ascii="宋体" w:hAnsi="宋体" w:eastAsia="宋体" w:cs="宋体"/>
          <w:i w:val="0"/>
          <w:caps w:val="0"/>
          <w:color w:val="333333"/>
          <w:spacing w:val="0"/>
          <w:sz w:val="32"/>
          <w:szCs w:val="32"/>
          <w:shd w:val="clear" w:fill="FFFFFF"/>
          <w:lang w:eastAsia="zh-CN"/>
        </w:rPr>
        <w:t>和基层政务公开专区一览</w:t>
      </w:r>
      <w:r>
        <w:rPr>
          <w:rFonts w:hint="eastAsia" w:ascii="宋体" w:hAnsi="宋体" w:eastAsia="宋体" w:cs="宋体"/>
          <w:sz w:val="32"/>
          <w:szCs w:val="32"/>
        </w:rPr>
        <w:t>。</w:t>
      </w:r>
      <w:r>
        <w:rPr>
          <w:rFonts w:hint="eastAsia" w:ascii="宋体" w:hAnsi="宋体" w:eastAsia="宋体" w:cs="宋体"/>
          <w:color w:val="FF0000"/>
          <w:sz w:val="32"/>
          <w:szCs w:val="32"/>
        </w:rPr>
        <w:t>3月</w:t>
      </w:r>
      <w:r>
        <w:rPr>
          <w:rFonts w:hint="eastAsia" w:ascii="宋体" w:hAnsi="宋体" w:eastAsia="宋体" w:cs="宋体"/>
          <w:sz w:val="32"/>
          <w:szCs w:val="32"/>
        </w:rPr>
        <w:t>召开了全县政务公开标准化规范化工作动员部署会议，邀请市政务公开办负责人及第三方专业人员授课。以“应公开、尽公开”为原则，对26个领域政务公开事项，围绕“决策、执行、服务、管理、结果”五公开进行细化梳理，梳理各部门行政权责清单</w:t>
      </w:r>
      <w:r>
        <w:rPr>
          <w:rFonts w:hint="eastAsia" w:ascii="宋体" w:hAnsi="宋体" w:eastAsia="宋体" w:cs="宋体"/>
          <w:color w:val="FF0000"/>
          <w:sz w:val="32"/>
          <w:szCs w:val="32"/>
          <w:lang w:val="en-US" w:eastAsia="zh-CN"/>
        </w:rPr>
        <w:t>2564</w:t>
      </w:r>
      <w:r>
        <w:rPr>
          <w:rFonts w:hint="eastAsia" w:ascii="宋体" w:hAnsi="宋体" w:eastAsia="宋体" w:cs="宋体"/>
          <w:color w:val="FF0000"/>
          <w:sz w:val="32"/>
          <w:szCs w:val="32"/>
        </w:rPr>
        <w:t>项</w:t>
      </w:r>
      <w:r>
        <w:rPr>
          <w:rFonts w:hint="eastAsia" w:ascii="宋体" w:hAnsi="宋体" w:eastAsia="宋体" w:cs="宋体"/>
          <w:sz w:val="32"/>
          <w:szCs w:val="32"/>
        </w:rPr>
        <w:t>。经过“专项调研”、“ 一对一”专项座谈、书面征求意见等多轮修订，编制完成县本级26个领域政务公开标准化目录</w:t>
      </w:r>
      <w:r>
        <w:rPr>
          <w:rFonts w:hint="eastAsia" w:ascii="宋体" w:hAnsi="宋体" w:eastAsia="宋体" w:cs="宋体"/>
          <w:color w:val="FF0000"/>
          <w:sz w:val="32"/>
          <w:szCs w:val="32"/>
        </w:rPr>
        <w:t>1469</w:t>
      </w:r>
      <w:r>
        <w:rPr>
          <w:rFonts w:hint="eastAsia" w:ascii="宋体" w:hAnsi="宋体" w:eastAsia="宋体" w:cs="宋体"/>
          <w:sz w:val="32"/>
          <w:szCs w:val="32"/>
          <w:lang w:eastAsia="zh-CN"/>
        </w:rPr>
        <w:t>个</w:t>
      </w:r>
      <w:r>
        <w:rPr>
          <w:rFonts w:hint="eastAsia" w:ascii="宋体" w:hAnsi="宋体" w:eastAsia="宋体" w:cs="宋体"/>
          <w:sz w:val="32"/>
          <w:szCs w:val="32"/>
        </w:rPr>
        <w:t>。同时，在县本级的标准目录指引下和县直部门的指导下，</w:t>
      </w:r>
      <w:r>
        <w:rPr>
          <w:rFonts w:hint="eastAsia" w:ascii="宋体" w:hAnsi="宋体" w:eastAsia="宋体" w:cs="宋体"/>
          <w:color w:val="auto"/>
          <w:sz w:val="32"/>
          <w:szCs w:val="32"/>
        </w:rPr>
        <w:t>16个乡镇（场）</w:t>
      </w:r>
      <w:r>
        <w:rPr>
          <w:rFonts w:hint="eastAsia" w:ascii="宋体" w:hAnsi="宋体" w:eastAsia="宋体" w:cs="宋体"/>
          <w:sz w:val="32"/>
          <w:szCs w:val="32"/>
        </w:rPr>
        <w:t>全部编制完成了本级政府政务公开标准目录</w:t>
      </w:r>
      <w:r>
        <w:rPr>
          <w:rFonts w:hint="eastAsia" w:ascii="宋体" w:hAnsi="宋体" w:eastAsia="宋体" w:cs="宋体"/>
          <w:sz w:val="32"/>
          <w:szCs w:val="32"/>
          <w:lang w:eastAsia="zh-CN"/>
        </w:rPr>
        <w:t>并完成</w:t>
      </w:r>
      <w:r>
        <w:rPr>
          <w:rFonts w:hint="eastAsia" w:ascii="宋体" w:hAnsi="宋体" w:eastAsia="宋体" w:cs="宋体"/>
          <w:kern w:val="2"/>
          <w:sz w:val="32"/>
          <w:szCs w:val="32"/>
          <w:lang w:val="en-US" w:eastAsia="zh-CN" w:bidi="ar-SA"/>
        </w:rPr>
        <w:t>政务公开体验区</w:t>
      </w:r>
      <w:r>
        <w:rPr>
          <w:rFonts w:hint="eastAsia" w:ascii="宋体" w:hAnsi="宋体" w:eastAsia="宋体" w:cs="宋体"/>
          <w:sz w:val="32"/>
          <w:szCs w:val="32"/>
          <w:lang w:eastAsia="zh-CN"/>
        </w:rPr>
        <w:t>建设</w:t>
      </w:r>
      <w:r>
        <w:rPr>
          <w:rFonts w:hint="eastAsia" w:ascii="宋体" w:hAnsi="宋体" w:eastAsia="宋体" w:cs="宋体"/>
          <w:sz w:val="32"/>
          <w:szCs w:val="32"/>
        </w:rPr>
        <w:t>。</w:t>
      </w:r>
    </w:p>
    <w:p>
      <w:pPr>
        <w:bidi w:val="0"/>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二是加大数据公开力度，通过举办宜丰县政务信息共享交换平台业务培训会，加强数据汇聚工作，对数据填报不完善的各部门，下发通知要求各部门及时进行整改完善。</w:t>
      </w:r>
    </w:p>
    <w:p>
      <w:pPr>
        <w:bidi w:val="0"/>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是规范信息审核发布机制，完善了我县政府信息公开保密审查、主动公开、依申请公开、信息发布协调、审核、年度报告、责任追究等7项制度，认真执行并在网站公示。严格执行“谁公开、谁审查、谁负责”、“先审查、后公开”、“一事一审”等保密审查规定，要求各单位把政府信息公开保密审查程序与公文运转程序、信息发布程序有机结合，对拟公开的政府信息，由承办单位提出具体意见，经信息公开操作人员审查后，报信息公开负责领导审批，从源头上落实了保密审查。</w:t>
      </w:r>
    </w:p>
    <w:p>
      <w:pPr>
        <w:bidi w:val="0"/>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是规范性文件整理，本级政府部门系统梳理本机关制发的规范性文件,集中统一对外公开并动态更新。提升规范性文件公开质量，对规范性文件列明文号、成文日期、发布时间、有效性等信息，并提供文本下载功能。公布了2020年36个规范性文件的修改、废止、失效情况，并对废止、修订说明了理由。</w:t>
      </w:r>
    </w:p>
    <w:p>
      <w:pPr>
        <w:bidi w:val="0"/>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（四）平台建设</w:t>
      </w:r>
    </w:p>
    <w:p>
      <w:pPr>
        <w:bidi w:val="0"/>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是充分发挥县政府门户网站“宣传主阵地”作用。把县政府门户网站作为政务公开的第一平台，对县政府门户网站进行调整优化，持续完善县政府门户网站的栏目设置和用户体验，使栏目设置更为科学、查询功能更为完善、信息获取更为便捷，实现政府网站互联互通、融合发展，并加强对政府网站和政务新媒体的监测检查，确保运转有序、安全可控。县政府信息公开平台集中发布主动公开的政府信息，优化信息检索和下载服务功能，整合设置统一的办事服务入口和互动交流入口，便利企业和群众。严格按照政务新媒体信息采集、审核、发布程序，确保运转有序、安全可控。建立网民意见建议审看处置机制，积极建设政务新媒体平台体系，突破自身专业技术力量不足的瓶颈，与县融媒体中心合作，积极借助县融媒体中心优势和渠道，扩大政府信息传播力和影响力。</w:t>
      </w:r>
    </w:p>
    <w:p>
      <w:pPr>
        <w:bidi w:val="0"/>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是公开方式多样化。坚持以政府网站为主体，以政府信息公开栏、电子屏幕、微信公众号、抖音官方账号等平台为辅，着力搭建高效便捷、渠道多元的公开载体。目前“宜丰县人民政府网”微信公众号，微信关注用户达7400余人，发布各类信息1300余条。通过广辟蹊径，让信息推送跟上时代的潮流，让公众获取政府信息提供更加便利。</w:t>
      </w:r>
    </w:p>
    <w:p>
      <w:pPr>
        <w:bidi w:val="0"/>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是加快政府网站集约化。按照《国务院办公厅关于印发政府网站集约化试点工作方案的通知》要求，以“八个统一、四个集约”为目标，加快推进全县政府网站集约化建设，县政府门户网站已迁移至市集约化平台，完成了IPv6改造并及时在全国政府网站信息报送系统中填报完成情况。</w:t>
      </w:r>
    </w:p>
    <w:p>
      <w:pPr>
        <w:bidi w:val="0"/>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是加强网站监管力度，建立健全信息发布审核制度。严格落实“先审后发"，确保信息准确规范组织各部门、各乡镇（场）网站平台定时上报工作信息动态，加强网络生态巡查，强化内容审核，对有误稿及时进行修改更正，对违规稿源实行零容忍。编制了宜丰县《政府网站监管年度报表》，并在政府门户网站发布。</w:t>
      </w:r>
    </w:p>
    <w:p>
      <w:pPr>
        <w:bidi w:val="0"/>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（五）监督保障</w:t>
      </w:r>
    </w:p>
    <w:p>
      <w:pPr>
        <w:bidi w:val="0"/>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是强化组织领导。成立了以县政府常务副县长任组长，县政府办公室主任任副组长，各单位主要负责人为成员的政务公开工作领导小组，定期研究通报、统筹推进全县政务公开工作，形成了县政府总抓，各部门积极参与各负其责的工作机制。全县各单位都明确了政府信息公开工作分管领导和工作人员，并建立了沟通协调机制，全县政务公开工作机构体系进一步完善。有力保障了政务公开工作顺利推进。</w:t>
      </w:r>
    </w:p>
    <w:p>
      <w:pPr>
        <w:bidi w:val="0"/>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是强化督导考核。出台主动公开、保密审查、社会评议等政务公开工作制度。同时，定期会同第三监测机构开展巡检、督查，每月至少两次对网站和政务新媒体更新、互动回应、错字错链等进行检查整改，检查情况每季度进行通报，并将结果纳入年度绩效考核体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default" w:ascii="仿宋_GB2312" w:eastAsia="仿宋_GB2312"/>
          <w:sz w:val="32"/>
          <w:szCs w:val="32"/>
          <w:lang w:val="en-US" w:eastAsia="zh-CN"/>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4"/>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规范性文件</w:t>
            </w:r>
          </w:p>
        </w:tc>
        <w:tc>
          <w:tcPr>
            <w:tcW w:w="2460"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15</w:t>
            </w:r>
          </w:p>
        </w:tc>
        <w:tc>
          <w:tcPr>
            <w:tcW w:w="2025"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15</w:t>
            </w:r>
          </w:p>
        </w:tc>
        <w:tc>
          <w:tcPr>
            <w:tcW w:w="2295"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566</w:t>
            </w:r>
          </w:p>
        </w:tc>
        <w:tc>
          <w:tcPr>
            <w:tcW w:w="2025"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-418</w:t>
            </w:r>
          </w:p>
        </w:tc>
        <w:tc>
          <w:tcPr>
            <w:tcW w:w="2295"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10949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3542</w:t>
            </w:r>
          </w:p>
        </w:tc>
        <w:tc>
          <w:tcPr>
            <w:tcW w:w="2025"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-2003</w:t>
            </w:r>
          </w:p>
        </w:tc>
        <w:tc>
          <w:tcPr>
            <w:tcW w:w="2295"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220</w:t>
            </w:r>
          </w:p>
        </w:tc>
        <w:tc>
          <w:tcPr>
            <w:tcW w:w="2025"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-32</w:t>
            </w:r>
          </w:p>
        </w:tc>
        <w:tc>
          <w:tcPr>
            <w:tcW w:w="2295"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22</w:t>
            </w:r>
          </w:p>
        </w:tc>
        <w:tc>
          <w:tcPr>
            <w:tcW w:w="4320" w:type="dxa"/>
            <w:gridSpan w:val="2"/>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217</w:t>
            </w:r>
          </w:p>
        </w:tc>
        <w:tc>
          <w:tcPr>
            <w:tcW w:w="4320" w:type="dxa"/>
            <w:gridSpan w:val="2"/>
            <w:shd w:val="clear" w:color="auto" w:fill="auto"/>
          </w:tcPr>
          <w:p>
            <w:pPr>
              <w:spacing w:line="460" w:lineRule="exact"/>
              <w:jc w:val="left"/>
              <w:rPr>
                <w:rFonts w:hint="eastAsia" w:ascii="仿宋" w:hAnsi="仿宋" w:eastAsia="仿宋" w:cs="仿宋"/>
                <w:color w:val="FF0000"/>
                <w:szCs w:val="21"/>
                <w:lang w:val="en-US" w:eastAsia="zh-CN"/>
              </w:rPr>
            </w:pPr>
            <w:r>
              <w:rPr>
                <w:rFonts w:hint="eastAsia" w:ascii="仿宋" w:hAnsi="仿宋" w:eastAsia="仿宋" w:cs="仿宋"/>
                <w:color w:val="FF0000"/>
                <w:szCs w:val="21"/>
                <w:lang w:val="en-US" w:eastAsia="zh-CN"/>
              </w:rPr>
              <w:t>20368万元</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4"/>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本列数据的勾稽关系为：</w:t>
            </w:r>
            <w:r>
              <w:rPr>
                <w:rFonts w:hint="eastAsia" w:ascii="仿宋" w:hAnsi="仿宋" w:eastAsia="仿宋" w:cs="仿宋"/>
                <w:color w:val="FF0000"/>
                <w:sz w:val="24"/>
                <w:szCs w:val="24"/>
              </w:rPr>
              <w:t>第一项加第二项</w:t>
            </w:r>
            <w:r>
              <w:rPr>
                <w:rFonts w:hint="eastAsia" w:ascii="仿宋" w:hAnsi="仿宋" w:eastAsia="仿宋" w:cs="仿宋"/>
                <w:sz w:val="24"/>
                <w:szCs w:val="24"/>
              </w:rPr>
              <w:t>之和，等于</w:t>
            </w:r>
            <w:r>
              <w:rPr>
                <w:rFonts w:hint="eastAsia" w:ascii="仿宋" w:hAnsi="仿宋" w:eastAsia="仿宋" w:cs="仿宋"/>
                <w:color w:val="FF0000"/>
                <w:sz w:val="24"/>
                <w:szCs w:val="24"/>
              </w:rPr>
              <w:t>第三项加第四项</w:t>
            </w:r>
            <w:r>
              <w:rPr>
                <w:rFonts w:hint="eastAsia" w:ascii="仿宋" w:hAnsi="仿宋" w:eastAsia="仿宋" w:cs="仿宋"/>
                <w:sz w:val="24"/>
                <w:szCs w:val="24"/>
              </w:rPr>
              <w:t>之和</w:t>
            </w:r>
          </w:p>
        </w:tc>
        <w:tc>
          <w:tcPr>
            <w:tcW w:w="6865" w:type="dxa"/>
            <w:gridSpan w:val="7"/>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spacing w:line="300" w:lineRule="exact"/>
              <w:jc w:val="center"/>
              <w:rPr>
                <w:rFonts w:ascii="仿宋" w:hAnsi="仿宋" w:eastAsia="仿宋" w:cs="仿宋"/>
                <w:sz w:val="24"/>
                <w:szCs w:val="24"/>
              </w:rPr>
            </w:pPr>
          </w:p>
        </w:tc>
        <w:tc>
          <w:tcPr>
            <w:tcW w:w="1053"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自然人</w:t>
            </w:r>
          </w:p>
        </w:tc>
        <w:tc>
          <w:tcPr>
            <w:tcW w:w="5103" w:type="dxa"/>
            <w:gridSpan w:val="5"/>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法人或其他组织</w:t>
            </w:r>
          </w:p>
        </w:tc>
        <w:tc>
          <w:tcPr>
            <w:tcW w:w="709"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spacing w:line="300" w:lineRule="exact"/>
              <w:jc w:val="center"/>
              <w:rPr>
                <w:rFonts w:ascii="仿宋" w:hAnsi="仿宋" w:eastAsia="仿宋" w:cs="仿宋"/>
                <w:sz w:val="24"/>
                <w:szCs w:val="24"/>
              </w:rPr>
            </w:pPr>
          </w:p>
        </w:tc>
        <w:tc>
          <w:tcPr>
            <w:tcW w:w="1053" w:type="dxa"/>
            <w:vMerge w:val="continue"/>
            <w:shd w:val="clear" w:color="auto" w:fill="auto"/>
            <w:vAlign w:val="center"/>
          </w:tcPr>
          <w:p>
            <w:pPr>
              <w:spacing w:line="300" w:lineRule="exact"/>
              <w:jc w:val="center"/>
              <w:rPr>
                <w:rFonts w:ascii="仿宋" w:hAnsi="仿宋" w:eastAsia="仿宋" w:cs="仿宋"/>
                <w:sz w:val="24"/>
                <w:szCs w:val="24"/>
              </w:rPr>
            </w:pPr>
          </w:p>
        </w:tc>
        <w:tc>
          <w:tcPr>
            <w:tcW w:w="1134"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商业</w:t>
            </w:r>
          </w:p>
          <w:p>
            <w:pPr>
              <w:spacing w:line="300" w:lineRule="exact"/>
              <w:jc w:val="center"/>
              <w:rPr>
                <w:rFonts w:ascii="仿宋" w:hAnsi="仿宋" w:eastAsia="仿宋" w:cs="仿宋"/>
                <w:sz w:val="24"/>
                <w:szCs w:val="24"/>
              </w:rPr>
            </w:pPr>
            <w:r>
              <w:rPr>
                <w:rFonts w:hint="eastAsia" w:ascii="仿宋" w:hAnsi="仿宋" w:eastAsia="仿宋" w:cs="仿宋"/>
                <w:sz w:val="24"/>
                <w:szCs w:val="24"/>
              </w:rPr>
              <w:t>企业</w:t>
            </w:r>
          </w:p>
        </w:tc>
        <w:tc>
          <w:tcPr>
            <w:tcW w:w="972"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科研</w:t>
            </w:r>
          </w:p>
          <w:p>
            <w:pPr>
              <w:spacing w:line="300" w:lineRule="exact"/>
              <w:jc w:val="center"/>
              <w:rPr>
                <w:rFonts w:ascii="仿宋" w:hAnsi="仿宋" w:eastAsia="仿宋" w:cs="仿宋"/>
                <w:sz w:val="24"/>
                <w:szCs w:val="24"/>
              </w:rPr>
            </w:pPr>
            <w:r>
              <w:rPr>
                <w:rFonts w:hint="eastAsia" w:ascii="仿宋" w:hAnsi="仿宋" w:eastAsia="仿宋" w:cs="仿宋"/>
                <w:sz w:val="24"/>
                <w:szCs w:val="24"/>
              </w:rPr>
              <w:t>机构</w:t>
            </w:r>
          </w:p>
        </w:tc>
        <w:tc>
          <w:tcPr>
            <w:tcW w:w="108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社会公益组织</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法律服务机构</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709" w:type="dxa"/>
            <w:vMerge w:val="continue"/>
            <w:shd w:val="clear" w:color="auto" w:fill="auto"/>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r>
              <w:rPr>
                <w:rFonts w:hint="eastAsia" w:ascii="仿宋" w:hAnsi="仿宋" w:eastAsia="仿宋" w:cs="仿宋"/>
                <w:b/>
                <w:color w:val="FF0000"/>
                <w:sz w:val="24"/>
                <w:szCs w:val="24"/>
              </w:rPr>
              <w:t>一</w:t>
            </w:r>
            <w:r>
              <w:rPr>
                <w:rFonts w:hint="eastAsia" w:ascii="仿宋" w:hAnsi="仿宋" w:eastAsia="仿宋" w:cs="仿宋"/>
                <w:sz w:val="24"/>
                <w:szCs w:val="24"/>
              </w:rPr>
              <w:t>、本年新收政府信息公开申请数量</w:t>
            </w:r>
          </w:p>
        </w:tc>
        <w:tc>
          <w:tcPr>
            <w:tcW w:w="1053" w:type="dxa"/>
            <w:shd w:val="clear" w:color="auto" w:fill="auto"/>
          </w:tcPr>
          <w:p>
            <w:pPr>
              <w:spacing w:line="3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r>
              <w:rPr>
                <w:rFonts w:hint="eastAsia" w:ascii="仿宋" w:hAnsi="仿宋" w:eastAsia="仿宋" w:cs="仿宋"/>
                <w:b/>
                <w:color w:val="FF0000"/>
                <w:sz w:val="24"/>
                <w:szCs w:val="24"/>
              </w:rPr>
              <w:t>二</w:t>
            </w:r>
            <w:r>
              <w:rPr>
                <w:rFonts w:hint="eastAsia" w:ascii="仿宋" w:hAnsi="仿宋" w:eastAsia="仿宋" w:cs="仿宋"/>
                <w:sz w:val="24"/>
                <w:szCs w:val="24"/>
              </w:rPr>
              <w:t>、上年结转政府信息公开申请数量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b/>
                <w:color w:val="FF0000"/>
                <w:sz w:val="24"/>
                <w:szCs w:val="24"/>
              </w:rPr>
              <w:t>三</w:t>
            </w:r>
            <w:r>
              <w:rPr>
                <w:rFonts w:hint="eastAsia" w:ascii="仿宋" w:hAnsi="仿宋" w:eastAsia="仿宋" w:cs="仿宋"/>
                <w:sz w:val="24"/>
                <w:szCs w:val="24"/>
              </w:rPr>
              <w:t>、本年度办理结果</w:t>
            </w: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（一）予以公开</w:t>
            </w:r>
          </w:p>
        </w:tc>
        <w:tc>
          <w:tcPr>
            <w:tcW w:w="972" w:type="dxa"/>
            <w:shd w:val="clear" w:color="auto" w:fill="auto"/>
          </w:tcPr>
          <w:p>
            <w:pPr>
              <w:spacing w:line="300" w:lineRule="exact"/>
              <w:rPr>
                <w:rFonts w:hint="default" w:ascii="仿宋" w:hAnsi="仿宋" w:eastAsia="仿宋" w:cs="仿宋"/>
                <w:sz w:val="24"/>
                <w:szCs w:val="24"/>
                <w:lang w:val="en-US" w:eastAsia="zh-CN"/>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（二）部分公开（区分处理的，只记这一情形，不记其他情形）</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vAlign w:val="center"/>
          </w:tcPr>
          <w:p>
            <w:pPr>
              <w:spacing w:line="300" w:lineRule="exact"/>
              <w:rPr>
                <w:rFonts w:ascii="仿宋" w:hAnsi="仿宋" w:eastAsia="仿宋" w:cs="仿宋"/>
                <w:sz w:val="24"/>
                <w:szCs w:val="24"/>
              </w:rPr>
            </w:pPr>
            <w:r>
              <w:rPr>
                <w:rFonts w:hint="eastAsia" w:ascii="仿宋" w:hAnsi="仿宋" w:eastAsia="仿宋" w:cs="仿宋"/>
                <w:sz w:val="24"/>
                <w:szCs w:val="24"/>
              </w:rPr>
              <w:t>（三）不予公开</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1.属于国家秘密</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2.其他法律行政法规禁止公开</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3.危及“三安全一稳定”</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4.保护第三方合法权益</w:t>
            </w:r>
          </w:p>
        </w:tc>
        <w:tc>
          <w:tcPr>
            <w:tcW w:w="972" w:type="dxa"/>
            <w:shd w:val="clear" w:color="auto" w:fill="auto"/>
          </w:tcPr>
          <w:p>
            <w:pPr>
              <w:spacing w:line="300" w:lineRule="exact"/>
              <w:rPr>
                <w:rFonts w:hint="eastAsia" w:ascii="仿宋" w:hAnsi="仿宋" w:eastAsia="仿宋" w:cs="仿宋"/>
                <w:sz w:val="24"/>
                <w:szCs w:val="24"/>
                <w:lang w:val="en-US" w:eastAsia="zh-CN"/>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5.属于三类内部事务信息</w:t>
            </w:r>
          </w:p>
        </w:tc>
        <w:tc>
          <w:tcPr>
            <w:tcW w:w="972" w:type="dxa"/>
            <w:shd w:val="clear" w:color="auto" w:fill="auto"/>
          </w:tcPr>
          <w:p>
            <w:pPr>
              <w:spacing w:line="300" w:lineRule="exact"/>
              <w:rPr>
                <w:rFonts w:hint="eastAsia" w:ascii="仿宋" w:hAnsi="仿宋" w:eastAsia="仿宋" w:cs="仿宋"/>
                <w:sz w:val="24"/>
                <w:szCs w:val="24"/>
                <w:lang w:val="en-US" w:eastAsia="zh-CN"/>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6.属于四类过程性信息</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7.属于行政执法案卷</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8.属于行政查询事项</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（四）无法提供</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1.本机关不掌握相关政府信息</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2.没有现成信息需要另行制作</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3.补正后申请内容仍不明确</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（五）不予处理</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1.信访投诉举报类申请</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2.重复申请</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3.要求提供公开出版物</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4.无正当理由大量反复申请</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（六）其他处理</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（七）总计</w:t>
            </w:r>
          </w:p>
        </w:tc>
        <w:tc>
          <w:tcPr>
            <w:tcW w:w="972" w:type="dxa"/>
            <w:shd w:val="clear" w:color="auto" w:fill="auto"/>
          </w:tcPr>
          <w:p>
            <w:pPr>
              <w:spacing w:line="300" w:lineRule="exact"/>
              <w:rPr>
                <w:rFonts w:ascii="仿宋" w:hAnsi="仿宋" w:eastAsia="仿宋" w:cs="仿宋"/>
                <w:sz w:val="24"/>
                <w:szCs w:val="24"/>
              </w:rPr>
            </w:pP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shd w:val="clear" w:color="auto" w:fill="auto"/>
          </w:tcPr>
          <w:p>
            <w:pPr>
              <w:spacing w:line="300" w:lineRule="exact"/>
              <w:rPr>
                <w:rFonts w:ascii="仿宋" w:hAnsi="仿宋" w:eastAsia="仿宋" w:cs="仿宋"/>
                <w:sz w:val="24"/>
                <w:szCs w:val="24"/>
              </w:rPr>
            </w:pPr>
            <w:r>
              <w:rPr>
                <w:rFonts w:hint="eastAsia" w:ascii="仿宋" w:hAnsi="仿宋" w:eastAsia="仿宋" w:cs="仿宋"/>
                <w:b/>
                <w:color w:val="FF0000"/>
                <w:sz w:val="24"/>
                <w:szCs w:val="24"/>
              </w:rPr>
              <w:t>四</w:t>
            </w:r>
            <w:r>
              <w:rPr>
                <w:rFonts w:hint="eastAsia" w:ascii="仿宋" w:hAnsi="仿宋" w:eastAsia="仿宋" w:cs="仿宋"/>
                <w:sz w:val="24"/>
                <w:szCs w:val="24"/>
              </w:rPr>
              <w:t>、结转下年度继续办理</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p>
        </w:tc>
        <w:tc>
          <w:tcPr>
            <w:tcW w:w="1110" w:type="dxa"/>
            <w:shd w:val="clear" w:color="auto" w:fill="auto"/>
          </w:tcPr>
          <w:p>
            <w:pPr>
              <w:spacing w:line="300" w:lineRule="exact"/>
              <w:rPr>
                <w:rFonts w:ascii="仿宋" w:hAnsi="仿宋" w:eastAsia="仿宋" w:cs="仿宋"/>
                <w:sz w:val="24"/>
                <w:szCs w:val="24"/>
              </w:rPr>
            </w:pPr>
          </w:p>
        </w:tc>
        <w:tc>
          <w:tcPr>
            <w:tcW w:w="807" w:type="dxa"/>
            <w:shd w:val="clear" w:color="auto" w:fill="auto"/>
          </w:tcPr>
          <w:p>
            <w:pPr>
              <w:spacing w:line="300" w:lineRule="exact"/>
              <w:rPr>
                <w:rFonts w:ascii="仿宋" w:hAnsi="仿宋" w:eastAsia="仿宋" w:cs="仿宋"/>
                <w:sz w:val="24"/>
                <w:szCs w:val="24"/>
              </w:rPr>
            </w:pP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r>
              <w:rPr>
                <w:rFonts w:ascii="仿宋" w:hAnsi="仿宋" w:eastAsia="仿宋" w:cs="仿宋"/>
                <w:sz w:val="24"/>
              </w:rPr>
              <w:br w:type="textWrapping"/>
            </w:r>
            <w:r>
              <w:rPr>
                <w:rFonts w:hint="eastAsia" w:ascii="仿宋" w:hAnsi="仿宋" w:eastAsia="仿宋" w:cs="仿宋"/>
                <w:b/>
                <w:color w:val="FF0000"/>
                <w:sz w:val="24"/>
              </w:rPr>
              <w:t>（因政府信息公开被行政复议）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r>
              <w:rPr>
                <w:rFonts w:ascii="仿宋" w:hAnsi="仿宋" w:eastAsia="仿宋" w:cs="仿宋"/>
                <w:sz w:val="24"/>
              </w:rPr>
              <w:br w:type="textWrapping"/>
            </w:r>
            <w:r>
              <w:rPr>
                <w:rFonts w:hint="eastAsia" w:ascii="仿宋" w:hAnsi="仿宋" w:eastAsia="仿宋" w:cs="仿宋"/>
                <w:b/>
                <w:color w:val="FF0000"/>
                <w:sz w:val="24"/>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bidi w:val="0"/>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2020年，宜丰县积极按照国家要求，主动查漏补缺，细化工作措施，改善工作不足之处，有序推进政务公开工作。一是针对培训学习不够的问题，积极开展政务公开专题培训，及时学习贯彻国务院、省、市关于政务公开工作的重要文件、重要部署要求，专题学习政务公开业务知识，努力提升基层工作人员理论和业务水平，不断增强各部门单位公开意识，有力提升公开能力。二是针对制度不够健全的问题，优化完善依申请公开、政策解读、重大决策预公开、行政决策公众参与、政务舆情回应、政府网站和政务新媒体管理、监督考核等工作制度，政务公开制度体系更加健全。三是针对信息公开质量不高的问题，加强公文公开属性源头认定，统一设置政策解读专栏，分类设置重点领域信息公开专栏，在网站首页开设了专题栏目，对疫情防控、创文明城、“六保”“六稳”、五型政府建设、扫黑除恶等中心工作内容进行了分类公开，积极推进政务公开标准化规范化，政府信息管理更加规范，信息公开质量不断提高。下一步，我们将不断健全完善制度体系，加强与先进地区的学习交流。积极把握政务公开前沿动态，深化与先进地区的交流沟通，结合本县实际打造政务公开亮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32"/>
          <w:szCs w:val="32"/>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eastAsiaTheme="minorEastAsia"/>
          <w:sz w:val="32"/>
          <w:szCs w:val="32"/>
          <w:lang w:eastAsia="zh-CN"/>
        </w:rPr>
      </w:pPr>
      <w:r>
        <w:rPr>
          <w:rFonts w:hint="eastAsia"/>
          <w:sz w:val="32"/>
          <w:szCs w:val="32"/>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06B3BF15"/>
    <w:multiLevelType w:val="singleLevel"/>
    <w:tmpl w:val="06B3BF15"/>
    <w:lvl w:ilvl="0" w:tentative="0">
      <w:start w:val="1"/>
      <w:numFmt w:val="decimal"/>
      <w:lvlText w:val="%1."/>
      <w:lvlJc w:val="left"/>
      <w:pPr>
        <w:tabs>
          <w:tab w:val="left" w:pos="312"/>
        </w:tabs>
      </w:pPr>
    </w:lvl>
  </w:abstractNum>
  <w:abstractNum w:abstractNumId="2">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CF208C9"/>
    <w:rsid w:val="0F42566A"/>
    <w:rsid w:val="0FE32618"/>
    <w:rsid w:val="120D39AD"/>
    <w:rsid w:val="14B7032D"/>
    <w:rsid w:val="17534F7D"/>
    <w:rsid w:val="1B931963"/>
    <w:rsid w:val="23B06487"/>
    <w:rsid w:val="2480713E"/>
    <w:rsid w:val="34AA3ECD"/>
    <w:rsid w:val="436D57F7"/>
    <w:rsid w:val="4E270888"/>
    <w:rsid w:val="50753C8D"/>
    <w:rsid w:val="519D4381"/>
    <w:rsid w:val="54391D72"/>
    <w:rsid w:val="566E50F8"/>
    <w:rsid w:val="56857A37"/>
    <w:rsid w:val="57C20C8B"/>
    <w:rsid w:val="5EA477B0"/>
    <w:rsid w:val="5FCE6A83"/>
    <w:rsid w:val="60163486"/>
    <w:rsid w:val="6D8756CE"/>
    <w:rsid w:val="6EB526D3"/>
    <w:rsid w:val="6EC41F3F"/>
    <w:rsid w:val="7318749B"/>
    <w:rsid w:val="757662AE"/>
    <w:rsid w:val="7A785009"/>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 行距: 固定值 28.9 磅"/>
    <w:basedOn w:val="1"/>
    <w:qFormat/>
    <w:uiPriority w:val="0"/>
    <w:pPr>
      <w:spacing w:line="578" w:lineRule="exact"/>
    </w:pPr>
    <w:rPr>
      <w:rFonts w:cs="宋体"/>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2021-02-01T03:53:40Z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