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64" w:rsidRDefault="00B60B30">
      <w:pPr>
        <w:pStyle w:val="a3"/>
        <w:widowControl/>
        <w:shd w:val="clear" w:color="auto" w:fill="FFFFFF"/>
        <w:spacing w:beforeAutospacing="0" w:afterAutospacing="0"/>
        <w:jc w:val="center"/>
        <w:rPr>
          <w:rFonts w:ascii="宋体" w:eastAsia="宋体" w:hAnsi="宋体" w:cs="宋体"/>
          <w:color w:val="333333"/>
          <w:sz w:val="44"/>
          <w:szCs w:val="44"/>
        </w:rPr>
      </w:pPr>
      <w:r>
        <w:rPr>
          <w:rFonts w:ascii="宋体" w:eastAsia="宋体" w:hAnsi="宋体" w:cs="宋体" w:hint="eastAsia"/>
          <w:b/>
          <w:color w:val="333333"/>
          <w:sz w:val="44"/>
          <w:szCs w:val="44"/>
          <w:shd w:val="clear" w:color="auto" w:fill="FFFFFF"/>
        </w:rPr>
        <w:t>宜丰县城市管理局2022年政府信息公开</w:t>
      </w:r>
      <w:r>
        <w:rPr>
          <w:rFonts w:ascii="宋体" w:eastAsia="宋体" w:hAnsi="宋体" w:cs="宋体" w:hint="eastAsia"/>
          <w:b/>
          <w:color w:val="333333"/>
          <w:sz w:val="44"/>
          <w:szCs w:val="44"/>
          <w:shd w:val="clear" w:color="auto" w:fill="FFFFFF"/>
        </w:rPr>
        <w:br/>
        <w:t>工作年度报告</w:t>
      </w:r>
    </w:p>
    <w:p w:rsidR="00435A64" w:rsidRDefault="00435A64">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435A64" w:rsidRDefault="00B60B30">
      <w:pPr>
        <w:pStyle w:val="a3"/>
        <w:widowControl/>
        <w:shd w:val="clear" w:color="auto" w:fill="FFFFFF"/>
        <w:spacing w:beforeAutospacing="0" w:afterAutospacing="0"/>
        <w:ind w:firstLineChars="200" w:firstLine="640"/>
        <w:jc w:val="both"/>
        <w:rPr>
          <w:rFonts w:ascii="仿宋" w:eastAsia="仿宋" w:hAnsi="仿宋" w:cs="仿宋"/>
          <w:color w:val="FF0000"/>
          <w:sz w:val="32"/>
          <w:szCs w:val="32"/>
        </w:rPr>
      </w:pPr>
      <w:r>
        <w:rPr>
          <w:rFonts w:ascii="仿宋" w:eastAsia="仿宋" w:hAnsi="仿宋" w:cs="仿宋" w:hint="eastAsia"/>
          <w:color w:val="333333"/>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城管局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宜丰县人民政府网站（www.jxyf.gov.cn）下载。如对本报告有任何疑问，请与城管局联系（地址：宜丰县新昌西大道26号，电话：0795-7137909，邮编：336300）。</w:t>
      </w:r>
    </w:p>
    <w:p w:rsidR="00435A64" w:rsidRDefault="00435A64">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435A64" w:rsidRDefault="00B60B30">
      <w:pPr>
        <w:pStyle w:val="a3"/>
        <w:widowControl/>
        <w:numPr>
          <w:ilvl w:val="0"/>
          <w:numId w:val="1"/>
        </w:numPr>
        <w:shd w:val="clear" w:color="auto" w:fill="FFFFFF"/>
        <w:spacing w:beforeAutospacing="0" w:afterAutospacing="0"/>
        <w:ind w:firstLine="420"/>
        <w:jc w:val="both"/>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总体情况</w:t>
      </w:r>
    </w:p>
    <w:p w:rsidR="00435A64" w:rsidRDefault="00B60B30">
      <w:pPr>
        <w:pStyle w:val="a3"/>
        <w:widowControl/>
        <w:shd w:val="clear" w:color="auto" w:fill="FFFFFF"/>
        <w:spacing w:beforeAutospacing="0" w:afterAutospacing="0"/>
        <w:ind w:firstLineChars="200" w:firstLine="640"/>
        <w:jc w:val="both"/>
        <w:rPr>
          <w:rFonts w:ascii="宋体" w:eastAsia="宋体" w:hAnsi="宋体" w:cs="宋体"/>
          <w:b/>
          <w:color w:val="333333"/>
          <w:sz w:val="32"/>
          <w:szCs w:val="32"/>
          <w:shd w:val="clear" w:color="auto" w:fill="FFFFFF"/>
        </w:rPr>
      </w:pPr>
      <w:r>
        <w:rPr>
          <w:rFonts w:ascii="仿宋" w:eastAsia="仿宋" w:hAnsi="仿宋" w:cs="仿宋" w:hint="eastAsia"/>
          <w:color w:val="333333"/>
          <w:sz w:val="32"/>
          <w:szCs w:val="32"/>
          <w:shd w:val="clear" w:color="auto" w:fill="FFFFFF"/>
        </w:rPr>
        <w:t>2022年城管局坚持以习近平新时代中国特色社会主义思想为指导，深入贯彻党的二十大精神，严格落实《条例》和《国务院办公厅关于印发2022年政务公开工作要点的通知》（国办发〔2022〕8号）的要求。同时积极对《宜丰县</w:t>
      </w:r>
      <w:r>
        <w:rPr>
          <w:rFonts w:ascii="仿宋" w:eastAsia="仿宋" w:hAnsi="仿宋" w:cs="仿宋" w:hint="eastAsia"/>
          <w:color w:val="333333"/>
          <w:sz w:val="32"/>
          <w:szCs w:val="32"/>
          <w:shd w:val="clear" w:color="auto" w:fill="FFFFFF"/>
        </w:rPr>
        <w:lastRenderedPageBreak/>
        <w:t>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w:t>
      </w:r>
      <w:r>
        <w:rPr>
          <w:rFonts w:ascii="仿宋" w:eastAsia="仿宋" w:hAnsi="仿宋" w:cs="仿宋" w:hint="eastAsia"/>
          <w:color w:val="333333"/>
          <w:sz w:val="32"/>
          <w:szCs w:val="32"/>
        </w:rPr>
        <w:t>80</w:t>
      </w:r>
      <w:r>
        <w:rPr>
          <w:rFonts w:ascii="仿宋" w:eastAsia="仿宋" w:hAnsi="仿宋" w:cs="仿宋" w:hint="eastAsia"/>
          <w:color w:val="333333"/>
          <w:sz w:val="32"/>
          <w:szCs w:val="32"/>
          <w:shd w:val="clear" w:color="auto" w:fill="FFFFFF"/>
        </w:rPr>
        <w:t>条。</w:t>
      </w:r>
    </w:p>
    <w:p w:rsidR="00435A64" w:rsidRDefault="00B60B30">
      <w:pPr>
        <w:pStyle w:val="a3"/>
        <w:widowControl/>
        <w:numPr>
          <w:ilvl w:val="0"/>
          <w:numId w:val="2"/>
        </w:numPr>
        <w:shd w:val="clear" w:color="auto" w:fill="FFFFFF"/>
        <w:spacing w:beforeAutospacing="0" w:afterAutospacing="0"/>
        <w:ind w:firstLine="420"/>
        <w:jc w:val="both"/>
        <w:rPr>
          <w:rFonts w:ascii="楷体" w:eastAsia="楷体" w:hAnsi="楷体" w:cs="楷体"/>
          <w:color w:val="333333"/>
          <w:sz w:val="32"/>
          <w:szCs w:val="32"/>
          <w:shd w:val="clear" w:color="auto" w:fill="FFFFFF"/>
        </w:rPr>
      </w:pPr>
      <w:r>
        <w:rPr>
          <w:rFonts w:ascii="楷体" w:eastAsia="楷体" w:hAnsi="楷体" w:cs="楷体" w:hint="eastAsia"/>
          <w:color w:val="333333"/>
          <w:sz w:val="32"/>
          <w:szCs w:val="32"/>
          <w:shd w:val="clear" w:color="auto" w:fill="FFFFFF"/>
        </w:rPr>
        <w:t>主动公开</w:t>
      </w:r>
    </w:p>
    <w:p w:rsidR="00435A64" w:rsidRDefault="00B60B30">
      <w:pPr>
        <w:spacing w:line="540" w:lineRule="exact"/>
        <w:ind w:firstLineChars="200" w:firstLine="640"/>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围绕“五公开”，及时公开城管局机构职能目录，内设机构及下属单位的职能工作，领导分工、人事任免等信息；公开财政资金管理使用情况，“三公”经费、财政专项资金、部门项目等情况；公开城管局权责清单目录、公共服务清单和中介服务清单，公开行政权力运行结果信息；公开城管局政策决策、重大决策、规划计划等信息，提高文件公开质量，政策文件均列明文件的文号、成文日期、发布时间、有效性等信息，并提供文本下载和PDF下载功能。加强重点领域信息公开，公开“三大攻坚战”、社会公益事业及重点民生领域信息，及时全面公开城市燃气、城市垃圾分类、城市给排水、市政基础设施等工作信息。</w:t>
      </w:r>
    </w:p>
    <w:p w:rsidR="00435A64" w:rsidRDefault="00B60B30">
      <w:pPr>
        <w:pStyle w:val="a3"/>
        <w:widowControl/>
        <w:numPr>
          <w:ilvl w:val="0"/>
          <w:numId w:val="2"/>
        </w:numPr>
        <w:shd w:val="clear" w:color="auto" w:fill="FFFFFF"/>
        <w:spacing w:beforeAutospacing="0" w:afterAutospacing="0"/>
        <w:ind w:firstLine="420"/>
        <w:jc w:val="both"/>
        <w:rPr>
          <w:rFonts w:ascii="楷体" w:eastAsia="楷体" w:hAnsi="楷体" w:cs="楷体"/>
          <w:color w:val="333333"/>
          <w:sz w:val="32"/>
          <w:szCs w:val="32"/>
          <w:shd w:val="clear" w:color="auto" w:fill="FFFFFF"/>
        </w:rPr>
      </w:pPr>
      <w:r>
        <w:rPr>
          <w:rFonts w:ascii="楷体" w:eastAsia="楷体" w:hAnsi="楷体" w:cs="楷体" w:hint="eastAsia"/>
          <w:color w:val="333333"/>
          <w:sz w:val="32"/>
          <w:szCs w:val="32"/>
          <w:shd w:val="clear" w:color="auto" w:fill="FFFFFF"/>
        </w:rPr>
        <w:t>依申请公开</w:t>
      </w:r>
    </w:p>
    <w:p w:rsidR="00435A64" w:rsidRDefault="00B60B30">
      <w:pPr>
        <w:pStyle w:val="a3"/>
        <w:widowControl/>
        <w:shd w:val="clear" w:color="auto" w:fill="FFFFFF"/>
        <w:spacing w:beforeAutospacing="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2022年，县城管局根据《政府信息公开条例》，及时调整《宜丰县城市管理局信息公开指南》中关于依申请公开的受理机构、受理程序、申请条件、答复时限，公布了城管局办公地址、办公电话、办公邮箱，申请渠道畅通。严格按照</w:t>
      </w:r>
      <w:r>
        <w:rPr>
          <w:rFonts w:ascii="仿宋" w:eastAsia="仿宋" w:hAnsi="仿宋" w:cs="仿宋" w:hint="eastAsia"/>
          <w:color w:val="333333"/>
          <w:sz w:val="32"/>
          <w:szCs w:val="32"/>
          <w:shd w:val="clear" w:color="auto" w:fill="FFFFFF"/>
        </w:rPr>
        <w:lastRenderedPageBreak/>
        <w:t>依申请公开办理要求及时办理，每月公布依申请公开文件目录。</w:t>
      </w:r>
    </w:p>
    <w:p w:rsidR="00435A64" w:rsidRDefault="00B60B30">
      <w:pPr>
        <w:pStyle w:val="a3"/>
        <w:widowControl/>
        <w:numPr>
          <w:ilvl w:val="0"/>
          <w:numId w:val="2"/>
        </w:numPr>
        <w:shd w:val="clear" w:color="auto" w:fill="FFFFFF"/>
        <w:spacing w:beforeAutospacing="0" w:afterAutospacing="0"/>
        <w:ind w:firstLine="420"/>
        <w:jc w:val="both"/>
        <w:rPr>
          <w:rFonts w:ascii="楷体" w:eastAsia="楷体" w:hAnsi="楷体" w:cs="楷体"/>
          <w:color w:val="333333"/>
          <w:sz w:val="32"/>
          <w:szCs w:val="32"/>
          <w:shd w:val="clear" w:color="auto" w:fill="FFFFFF"/>
        </w:rPr>
      </w:pPr>
      <w:r>
        <w:rPr>
          <w:rFonts w:ascii="楷体" w:eastAsia="楷体" w:hAnsi="楷体" w:cs="楷体" w:hint="eastAsia"/>
          <w:color w:val="333333"/>
          <w:sz w:val="32"/>
          <w:szCs w:val="32"/>
          <w:shd w:val="clear" w:color="auto" w:fill="FFFFFF"/>
        </w:rPr>
        <w:t>政府信息管理</w:t>
      </w:r>
    </w:p>
    <w:p w:rsidR="00435A64" w:rsidRDefault="00B60B30">
      <w:pPr>
        <w:pStyle w:val="a3"/>
        <w:widowControl/>
        <w:shd w:val="clear" w:color="auto" w:fill="FFFFFF"/>
        <w:spacing w:beforeAutospacing="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实行局网站政府信息公开专人管理，对网站定期检查，及时维护，严格按照“公开为常态，不公开为例外”的要求认真执行，做到“上网信息不涉密，涉密信息不上网”，充分发挥政府信息公开平台的作用，及时公开规划信息、政策解读、工作动态等。全年发布政务动态28条、财务预决算12条、政策文件4条、人事信息2条、政策解读3条、建议提案4条，及时更新领导分工及其他内容，确保政府信息公开更加全面和规范。</w:t>
      </w:r>
    </w:p>
    <w:p w:rsidR="00435A64" w:rsidRDefault="00B60B30">
      <w:pPr>
        <w:pStyle w:val="a3"/>
        <w:widowControl/>
        <w:numPr>
          <w:ilvl w:val="0"/>
          <w:numId w:val="2"/>
        </w:numPr>
        <w:shd w:val="clear" w:color="auto" w:fill="FFFFFF"/>
        <w:spacing w:beforeAutospacing="0" w:afterAutospacing="0"/>
        <w:ind w:firstLine="420"/>
        <w:jc w:val="both"/>
        <w:rPr>
          <w:rFonts w:ascii="楷体" w:eastAsia="楷体" w:hAnsi="楷体" w:cs="楷体"/>
          <w:color w:val="333333"/>
          <w:sz w:val="32"/>
          <w:szCs w:val="32"/>
          <w:shd w:val="clear" w:color="auto" w:fill="FFFFFF"/>
        </w:rPr>
      </w:pPr>
      <w:r>
        <w:rPr>
          <w:rFonts w:ascii="楷体" w:eastAsia="楷体" w:hAnsi="楷体" w:cs="楷体" w:hint="eastAsia"/>
          <w:color w:val="333333"/>
          <w:sz w:val="32"/>
          <w:szCs w:val="32"/>
          <w:shd w:val="clear" w:color="auto" w:fill="FFFFFF"/>
        </w:rPr>
        <w:t>平台建设</w:t>
      </w:r>
    </w:p>
    <w:p w:rsidR="00435A64" w:rsidRDefault="00B60B30">
      <w:pPr>
        <w:pStyle w:val="a3"/>
        <w:widowControl/>
        <w:shd w:val="clear" w:color="auto" w:fill="FFFFFF"/>
        <w:spacing w:beforeAutospacing="0" w:afterAutospacing="0"/>
        <w:ind w:firstLineChars="200" w:firstLine="640"/>
        <w:jc w:val="both"/>
        <w:rPr>
          <w:rFonts w:ascii="仿宋_GB2312" w:eastAsia="仿宋_GB2312" w:hAnsi="仿宋" w:cstheme="minorBidi"/>
          <w:color w:val="FF0000"/>
          <w:kern w:val="2"/>
          <w:sz w:val="32"/>
          <w:szCs w:val="32"/>
        </w:rPr>
      </w:pPr>
      <w:r>
        <w:rPr>
          <w:rFonts w:ascii="仿宋" w:eastAsia="仿宋" w:hAnsi="仿宋" w:cs="仿宋" w:hint="eastAsia"/>
          <w:color w:val="333333"/>
          <w:sz w:val="32"/>
          <w:szCs w:val="32"/>
          <w:shd w:val="clear" w:color="auto" w:fill="FFFFFF"/>
        </w:rPr>
        <w:t>按照省、市各级要求，结合工作实际，将我局门户网站栏目进行优化调整，围绕全县文明城市创建复检等中心工作不断丰富我局网站信息公开内容。建立宜丰县城市管理局公众号、视频号，保持每周两次内容更新，主动向公众推送我局中心工作，强化正面宣传，讲好城管故事。</w:t>
      </w:r>
    </w:p>
    <w:p w:rsidR="00435A64" w:rsidRDefault="00B60B30">
      <w:pPr>
        <w:pStyle w:val="a3"/>
        <w:widowControl/>
        <w:numPr>
          <w:ilvl w:val="0"/>
          <w:numId w:val="2"/>
        </w:numPr>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楷体" w:eastAsia="楷体" w:hAnsi="楷体" w:cs="楷体" w:hint="eastAsia"/>
          <w:color w:val="333333"/>
          <w:sz w:val="32"/>
          <w:szCs w:val="32"/>
          <w:shd w:val="clear" w:color="auto" w:fill="FFFFFF"/>
        </w:rPr>
        <w:t>监督保障</w:t>
      </w:r>
    </w:p>
    <w:p w:rsidR="00435A64" w:rsidRDefault="00B60B30">
      <w:pPr>
        <w:pStyle w:val="a3"/>
        <w:widowControl/>
        <w:shd w:val="clear" w:color="auto" w:fill="FFFFFF"/>
        <w:spacing w:beforeAutospacing="0" w:afterAutospacing="0"/>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bCs/>
          <w:color w:val="333333"/>
          <w:sz w:val="32"/>
          <w:szCs w:val="32"/>
          <w:shd w:val="clear" w:color="auto" w:fill="FFFFFF"/>
        </w:rPr>
        <w:t>1、加强组织领导。</w:t>
      </w:r>
      <w:r>
        <w:rPr>
          <w:rFonts w:ascii="仿宋" w:eastAsia="仿宋" w:hAnsi="仿宋" w:cs="仿宋" w:hint="eastAsia"/>
          <w:color w:val="333333"/>
          <w:sz w:val="32"/>
          <w:szCs w:val="32"/>
          <w:shd w:val="clear" w:color="auto" w:fill="FFFFFF"/>
        </w:rPr>
        <w:t>我局成立了政府信息公开工作领导小组，领导小组办公室设在局办公室，负责统筹推进、指导协调局属各单位、各科室的政府信息公开工作，形成责任明确、分工具体的工作机制，确保政府信息公开工作组织有序。</w:t>
      </w:r>
    </w:p>
    <w:p w:rsidR="00435A64" w:rsidRDefault="00B60B30">
      <w:pPr>
        <w:pStyle w:val="a3"/>
        <w:widowControl/>
        <w:shd w:val="clear" w:color="auto" w:fill="FFFFFF"/>
        <w:spacing w:beforeAutospacing="0" w:afterAutospacing="0"/>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bCs/>
          <w:color w:val="333333"/>
          <w:sz w:val="32"/>
          <w:szCs w:val="32"/>
          <w:shd w:val="clear" w:color="auto" w:fill="FFFFFF"/>
        </w:rPr>
        <w:lastRenderedPageBreak/>
        <w:t>2、健全公开制度。</w:t>
      </w:r>
      <w:r>
        <w:rPr>
          <w:rFonts w:ascii="仿宋" w:eastAsia="仿宋" w:hAnsi="仿宋" w:cs="仿宋" w:hint="eastAsia"/>
          <w:color w:val="333333"/>
          <w:sz w:val="32"/>
          <w:szCs w:val="32"/>
          <w:shd w:val="clear" w:color="auto" w:fill="FFFFFF"/>
        </w:rPr>
        <w:t>我局进一步完善了信息公开相关制度，强化了督查督办力度，严把公开内容审批关，对公开的信息严格实行分级审核制度，确保了信息的质量和精准度。</w:t>
      </w:r>
    </w:p>
    <w:p w:rsidR="00435A64" w:rsidRDefault="00B60B30">
      <w:pPr>
        <w:pStyle w:val="a3"/>
        <w:widowControl/>
        <w:shd w:val="clear" w:color="auto" w:fill="FFFFFF"/>
        <w:spacing w:beforeAutospacing="0" w:afterAutospacing="0"/>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bCs/>
          <w:color w:val="333333"/>
          <w:sz w:val="32"/>
          <w:szCs w:val="32"/>
          <w:shd w:val="clear" w:color="auto" w:fill="FFFFFF"/>
        </w:rPr>
        <w:t>3、层层压实责任。</w:t>
      </w:r>
      <w:r>
        <w:rPr>
          <w:rFonts w:ascii="仿宋" w:eastAsia="仿宋" w:hAnsi="仿宋" w:cs="仿宋" w:hint="eastAsia"/>
          <w:color w:val="333333"/>
          <w:sz w:val="32"/>
          <w:szCs w:val="32"/>
          <w:shd w:val="clear" w:color="auto" w:fill="FFFFFF"/>
        </w:rPr>
        <w:t>明确了分管领导和各科室职责，安排专职网站管理人员，办公室、政策法规科、宣传教育科等科室协同配合，对需要在公开的各类信息进行整理、登记、确认、发布，确保信息公开工作运转有序。</w:t>
      </w:r>
    </w:p>
    <w:p w:rsidR="00435A64" w:rsidRDefault="00B60B30">
      <w:pPr>
        <w:spacing w:line="540" w:lineRule="exact"/>
        <w:ind w:firstLineChars="100" w:firstLine="320"/>
        <w:rPr>
          <w:rFonts w:ascii="黑体" w:eastAsia="黑体" w:hAnsi="黑体" w:cs="黑体"/>
          <w:bCs/>
          <w:sz w:val="32"/>
          <w:szCs w:val="32"/>
        </w:rPr>
      </w:pPr>
      <w:r>
        <w:rPr>
          <w:rFonts w:ascii="黑体" w:eastAsia="黑体" w:hAnsi="黑体" w:cs="黑体" w:hint="eastAsia"/>
          <w:bCs/>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435A64">
        <w:tc>
          <w:tcPr>
            <w:tcW w:w="8484" w:type="dxa"/>
            <w:gridSpan w:val="4"/>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本年制发件数</w:t>
            </w:r>
          </w:p>
        </w:tc>
        <w:tc>
          <w:tcPr>
            <w:tcW w:w="2025"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本年废止件数</w:t>
            </w:r>
          </w:p>
        </w:tc>
        <w:tc>
          <w:tcPr>
            <w:tcW w:w="2295"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现行有效件数</w:t>
            </w:r>
          </w:p>
        </w:tc>
      </w:tr>
      <w:tr w:rsidR="00435A64">
        <w:tc>
          <w:tcPr>
            <w:tcW w:w="1704" w:type="dxa"/>
            <w:shd w:val="clear" w:color="auto" w:fill="auto"/>
            <w:vAlign w:val="center"/>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规    章</w:t>
            </w:r>
          </w:p>
        </w:tc>
        <w:tc>
          <w:tcPr>
            <w:tcW w:w="2460" w:type="dxa"/>
            <w:shd w:val="clear" w:color="auto" w:fill="auto"/>
          </w:tcPr>
          <w:p w:rsidR="00435A64" w:rsidRDefault="00B60B30" w:rsidP="00130793">
            <w:pPr>
              <w:spacing w:line="460" w:lineRule="exact"/>
              <w:jc w:val="center"/>
              <w:rPr>
                <w:rFonts w:ascii="仿宋" w:eastAsia="仿宋" w:hAnsi="仿宋" w:cs="仿宋"/>
                <w:szCs w:val="21"/>
              </w:rPr>
            </w:pPr>
            <w:r>
              <w:rPr>
                <w:rFonts w:ascii="仿宋" w:eastAsia="仿宋" w:hAnsi="仿宋" w:cs="仿宋" w:hint="eastAsia"/>
                <w:szCs w:val="21"/>
              </w:rPr>
              <w:t>0</w:t>
            </w:r>
          </w:p>
        </w:tc>
        <w:tc>
          <w:tcPr>
            <w:tcW w:w="2025" w:type="dxa"/>
            <w:shd w:val="clear" w:color="auto" w:fill="auto"/>
          </w:tcPr>
          <w:p w:rsidR="00435A64" w:rsidRDefault="00B60B30" w:rsidP="00130793">
            <w:pPr>
              <w:spacing w:line="460" w:lineRule="exact"/>
              <w:jc w:val="center"/>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435A64" w:rsidRDefault="00B60B30" w:rsidP="00130793">
            <w:pPr>
              <w:spacing w:line="460" w:lineRule="exact"/>
              <w:jc w:val="center"/>
              <w:rPr>
                <w:rFonts w:ascii="仿宋" w:eastAsia="仿宋" w:hAnsi="仿宋" w:cs="仿宋"/>
                <w:szCs w:val="21"/>
              </w:rPr>
            </w:pPr>
            <w:r>
              <w:rPr>
                <w:rFonts w:ascii="仿宋" w:eastAsia="仿宋" w:hAnsi="仿宋" w:cs="仿宋" w:hint="eastAsia"/>
                <w:szCs w:val="21"/>
              </w:rPr>
              <w:t>0</w:t>
            </w:r>
          </w:p>
        </w:tc>
      </w:tr>
      <w:tr w:rsidR="00435A64">
        <w:tc>
          <w:tcPr>
            <w:tcW w:w="1704" w:type="dxa"/>
            <w:shd w:val="clear" w:color="auto" w:fill="auto"/>
          </w:tcPr>
          <w:p w:rsidR="00435A64" w:rsidRPr="00A22457" w:rsidRDefault="00B60B30">
            <w:pPr>
              <w:spacing w:line="460" w:lineRule="exact"/>
              <w:jc w:val="center"/>
              <w:rPr>
                <w:rFonts w:ascii="仿宋" w:eastAsia="仿宋" w:hAnsi="仿宋" w:cs="仿宋"/>
                <w:spacing w:val="-16"/>
                <w:sz w:val="24"/>
              </w:rPr>
            </w:pPr>
            <w:r w:rsidRPr="00A22457">
              <w:rPr>
                <w:rFonts w:ascii="仿宋" w:eastAsia="仿宋" w:hAnsi="仿宋" w:cs="仿宋" w:hint="eastAsia"/>
                <w:spacing w:val="-16"/>
                <w:sz w:val="24"/>
              </w:rPr>
              <w:t>行政规范性文件</w:t>
            </w:r>
          </w:p>
        </w:tc>
        <w:tc>
          <w:tcPr>
            <w:tcW w:w="2460" w:type="dxa"/>
            <w:shd w:val="clear" w:color="auto" w:fill="auto"/>
          </w:tcPr>
          <w:p w:rsidR="00435A64" w:rsidRDefault="00130793" w:rsidP="00130793">
            <w:pPr>
              <w:spacing w:line="460" w:lineRule="exact"/>
              <w:jc w:val="center"/>
              <w:rPr>
                <w:rFonts w:ascii="仿宋" w:eastAsia="仿宋" w:hAnsi="仿宋" w:cs="仿宋"/>
                <w:szCs w:val="21"/>
              </w:rPr>
            </w:pPr>
            <w:r>
              <w:rPr>
                <w:rFonts w:ascii="仿宋" w:eastAsia="仿宋" w:hAnsi="仿宋" w:cs="仿宋" w:hint="eastAsia"/>
                <w:szCs w:val="21"/>
              </w:rPr>
              <w:t>2</w:t>
            </w:r>
          </w:p>
        </w:tc>
        <w:tc>
          <w:tcPr>
            <w:tcW w:w="2025" w:type="dxa"/>
            <w:shd w:val="clear" w:color="auto" w:fill="auto"/>
          </w:tcPr>
          <w:p w:rsidR="00435A64" w:rsidRDefault="00B60B30" w:rsidP="00130793">
            <w:pPr>
              <w:spacing w:line="460" w:lineRule="exact"/>
              <w:jc w:val="center"/>
              <w:rPr>
                <w:rFonts w:ascii="仿宋" w:eastAsia="仿宋" w:hAnsi="仿宋" w:cs="仿宋"/>
                <w:szCs w:val="21"/>
              </w:rPr>
            </w:pPr>
            <w:r>
              <w:rPr>
                <w:rFonts w:ascii="仿宋" w:eastAsia="仿宋" w:hAnsi="仿宋" w:cs="仿宋" w:hint="eastAsia"/>
                <w:szCs w:val="21"/>
              </w:rPr>
              <w:t>0</w:t>
            </w:r>
          </w:p>
        </w:tc>
        <w:tc>
          <w:tcPr>
            <w:tcW w:w="2295" w:type="dxa"/>
            <w:shd w:val="clear" w:color="auto" w:fill="auto"/>
          </w:tcPr>
          <w:p w:rsidR="00435A64" w:rsidRDefault="00B60B30" w:rsidP="00130793">
            <w:pPr>
              <w:spacing w:line="460" w:lineRule="exact"/>
              <w:jc w:val="center"/>
              <w:rPr>
                <w:rFonts w:ascii="仿宋" w:eastAsia="仿宋" w:hAnsi="仿宋" w:cs="仿宋"/>
                <w:szCs w:val="21"/>
              </w:rPr>
            </w:pPr>
            <w:r>
              <w:rPr>
                <w:rFonts w:ascii="仿宋" w:eastAsia="仿宋" w:hAnsi="仿宋" w:cs="仿宋" w:hint="eastAsia"/>
                <w:szCs w:val="21"/>
              </w:rPr>
              <w:t>2</w:t>
            </w:r>
          </w:p>
        </w:tc>
      </w:tr>
      <w:tr w:rsidR="00435A64">
        <w:tc>
          <w:tcPr>
            <w:tcW w:w="8484" w:type="dxa"/>
            <w:gridSpan w:val="4"/>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第二十条第（五）项</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6780" w:type="dxa"/>
            <w:gridSpan w:val="3"/>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本年处理决定数量</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6780" w:type="dxa"/>
            <w:gridSpan w:val="3"/>
            <w:shd w:val="clear" w:color="auto" w:fill="auto"/>
          </w:tcPr>
          <w:p w:rsidR="00435A64" w:rsidRDefault="00B60B30" w:rsidP="0028393A">
            <w:pPr>
              <w:spacing w:line="460" w:lineRule="exact"/>
              <w:jc w:val="center"/>
              <w:rPr>
                <w:rFonts w:ascii="仿宋" w:eastAsia="仿宋" w:hAnsi="仿宋" w:cs="仿宋"/>
                <w:szCs w:val="21"/>
              </w:rPr>
            </w:pPr>
            <w:r>
              <w:rPr>
                <w:rFonts w:ascii="仿宋" w:eastAsia="仿宋" w:hAnsi="仿宋" w:cs="仿宋" w:hint="eastAsia"/>
                <w:szCs w:val="21"/>
              </w:rPr>
              <w:t>37</w:t>
            </w:r>
          </w:p>
        </w:tc>
      </w:tr>
      <w:tr w:rsidR="00435A64">
        <w:tc>
          <w:tcPr>
            <w:tcW w:w="8484" w:type="dxa"/>
            <w:gridSpan w:val="4"/>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第二十条第（六）项</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6780" w:type="dxa"/>
            <w:gridSpan w:val="3"/>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本年处理决定数量</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行政处罚</w:t>
            </w:r>
          </w:p>
        </w:tc>
        <w:tc>
          <w:tcPr>
            <w:tcW w:w="6780" w:type="dxa"/>
            <w:gridSpan w:val="3"/>
            <w:shd w:val="clear" w:color="auto" w:fill="auto"/>
          </w:tcPr>
          <w:p w:rsidR="00435A64" w:rsidRDefault="00B60B30" w:rsidP="0028393A">
            <w:pPr>
              <w:spacing w:line="460" w:lineRule="exact"/>
              <w:jc w:val="center"/>
              <w:rPr>
                <w:rFonts w:ascii="仿宋" w:eastAsia="仿宋" w:hAnsi="仿宋" w:cs="仿宋"/>
                <w:szCs w:val="21"/>
              </w:rPr>
            </w:pPr>
            <w:r>
              <w:rPr>
                <w:rFonts w:ascii="仿宋" w:eastAsia="仿宋" w:hAnsi="仿宋" w:cs="仿宋" w:hint="eastAsia"/>
                <w:szCs w:val="21"/>
              </w:rPr>
              <w:t>461</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行政强制</w:t>
            </w:r>
          </w:p>
        </w:tc>
        <w:tc>
          <w:tcPr>
            <w:tcW w:w="6780" w:type="dxa"/>
            <w:gridSpan w:val="3"/>
            <w:shd w:val="clear" w:color="auto" w:fill="auto"/>
          </w:tcPr>
          <w:p w:rsidR="00435A64" w:rsidRDefault="00B60B30" w:rsidP="0028393A">
            <w:pPr>
              <w:spacing w:line="460" w:lineRule="exact"/>
              <w:jc w:val="center"/>
              <w:rPr>
                <w:rFonts w:ascii="仿宋" w:eastAsia="仿宋" w:hAnsi="仿宋" w:cs="仿宋"/>
                <w:szCs w:val="21"/>
              </w:rPr>
            </w:pPr>
            <w:r>
              <w:rPr>
                <w:rFonts w:ascii="仿宋" w:eastAsia="仿宋" w:hAnsi="仿宋" w:cs="仿宋" w:hint="eastAsia"/>
                <w:szCs w:val="21"/>
              </w:rPr>
              <w:t>0</w:t>
            </w:r>
          </w:p>
        </w:tc>
      </w:tr>
      <w:tr w:rsidR="00435A64">
        <w:tc>
          <w:tcPr>
            <w:tcW w:w="8484" w:type="dxa"/>
            <w:gridSpan w:val="4"/>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第二十条第（八）项</w:t>
            </w:r>
          </w:p>
        </w:tc>
      </w:tr>
      <w:tr w:rsidR="00435A64">
        <w:tc>
          <w:tcPr>
            <w:tcW w:w="1704" w:type="dxa"/>
            <w:shd w:val="clear" w:color="auto" w:fill="auto"/>
          </w:tcPr>
          <w:p w:rsidR="00435A64" w:rsidRDefault="00B60B3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6780" w:type="dxa"/>
            <w:gridSpan w:val="3"/>
            <w:shd w:val="clear" w:color="auto" w:fill="auto"/>
          </w:tcPr>
          <w:p w:rsidR="00435A64" w:rsidRDefault="00B60B30">
            <w:pPr>
              <w:spacing w:line="460" w:lineRule="exact"/>
              <w:jc w:val="left"/>
              <w:rPr>
                <w:rFonts w:ascii="仿宋" w:eastAsia="仿宋" w:hAnsi="仿宋" w:cs="仿宋"/>
                <w:sz w:val="24"/>
              </w:rPr>
            </w:pPr>
            <w:r>
              <w:rPr>
                <w:rFonts w:ascii="仿宋" w:eastAsia="仿宋" w:hAnsi="仿宋" w:cs="仿宋" w:hint="eastAsia"/>
                <w:sz w:val="24"/>
              </w:rPr>
              <w:t>本年收费金额（单位：万元）</w:t>
            </w:r>
          </w:p>
        </w:tc>
      </w:tr>
      <w:tr w:rsidR="00435A64">
        <w:tc>
          <w:tcPr>
            <w:tcW w:w="1704" w:type="dxa"/>
            <w:shd w:val="clear" w:color="auto" w:fill="auto"/>
          </w:tcPr>
          <w:p w:rsidR="00435A64" w:rsidRPr="0028393A" w:rsidRDefault="00B60B30">
            <w:pPr>
              <w:spacing w:line="460" w:lineRule="exact"/>
              <w:jc w:val="center"/>
              <w:rPr>
                <w:rFonts w:ascii="仿宋" w:eastAsia="仿宋" w:hAnsi="仿宋" w:cs="仿宋"/>
                <w:spacing w:val="-14"/>
                <w:sz w:val="24"/>
              </w:rPr>
            </w:pPr>
            <w:r w:rsidRPr="0028393A">
              <w:rPr>
                <w:rFonts w:ascii="仿宋" w:eastAsia="仿宋" w:hAnsi="仿宋" w:cs="仿宋" w:hint="eastAsia"/>
                <w:spacing w:val="-14"/>
                <w:sz w:val="24"/>
              </w:rPr>
              <w:t>行政事业性收费</w:t>
            </w:r>
          </w:p>
        </w:tc>
        <w:tc>
          <w:tcPr>
            <w:tcW w:w="6780" w:type="dxa"/>
            <w:gridSpan w:val="3"/>
            <w:shd w:val="clear" w:color="auto" w:fill="auto"/>
          </w:tcPr>
          <w:p w:rsidR="00435A64" w:rsidRDefault="00B60B30" w:rsidP="0028393A">
            <w:pPr>
              <w:spacing w:line="460" w:lineRule="exact"/>
              <w:jc w:val="center"/>
              <w:rPr>
                <w:rFonts w:ascii="仿宋" w:eastAsia="仿宋" w:hAnsi="仿宋" w:cs="仿宋"/>
                <w:szCs w:val="21"/>
              </w:rPr>
            </w:pPr>
            <w:r>
              <w:rPr>
                <w:rFonts w:ascii="仿宋" w:eastAsia="仿宋" w:hAnsi="仿宋" w:cs="仿宋" w:hint="eastAsia"/>
                <w:szCs w:val="21"/>
              </w:rPr>
              <w:t>152.6</w:t>
            </w:r>
            <w:bookmarkStart w:id="0" w:name="_GoBack"/>
            <w:bookmarkEnd w:id="0"/>
          </w:p>
        </w:tc>
      </w:tr>
    </w:tbl>
    <w:p w:rsidR="00435A64" w:rsidRDefault="00435A64">
      <w:pPr>
        <w:spacing w:line="540" w:lineRule="exact"/>
        <w:rPr>
          <w:rFonts w:ascii="仿宋_GB2312" w:eastAsia="仿宋_GB2312" w:hAnsi="仿宋" w:cs="仿宋"/>
          <w:b/>
          <w:sz w:val="32"/>
          <w:szCs w:val="32"/>
        </w:rPr>
      </w:pPr>
    </w:p>
    <w:p w:rsidR="00435A64" w:rsidRDefault="00B60B30">
      <w:pPr>
        <w:spacing w:line="540" w:lineRule="exact"/>
        <w:rPr>
          <w:rFonts w:ascii="仿宋_GB2312" w:eastAsia="仿宋_GB2312" w:hAnsi="仿宋"/>
          <w:color w:val="FF0000"/>
          <w:sz w:val="32"/>
          <w:szCs w:val="32"/>
        </w:rPr>
      </w:pPr>
      <w:r>
        <w:rPr>
          <w:rFonts w:ascii="黑体" w:eastAsia="黑体" w:hAnsi="黑体" w:cs="黑体" w:hint="eastAsia"/>
          <w:bCs/>
          <w:sz w:val="32"/>
          <w:szCs w:val="32"/>
        </w:rPr>
        <w:t>三、收到和处理政府信息公开申请情况</w:t>
      </w:r>
    </w:p>
    <w:tbl>
      <w:tblPr>
        <w:tblW w:w="9619" w:type="dxa"/>
        <w:jc w:val="center"/>
        <w:tblLayout w:type="fixed"/>
        <w:tblCellMar>
          <w:left w:w="0" w:type="dxa"/>
          <w:right w:w="0" w:type="dxa"/>
        </w:tblCellMar>
        <w:tblLook w:val="04A0"/>
      </w:tblPr>
      <w:tblGrid>
        <w:gridCol w:w="736"/>
        <w:gridCol w:w="906"/>
        <w:gridCol w:w="3217"/>
        <w:gridCol w:w="680"/>
        <w:gridCol w:w="680"/>
        <w:gridCol w:w="680"/>
        <w:gridCol w:w="680"/>
        <w:gridCol w:w="680"/>
        <w:gridCol w:w="680"/>
        <w:gridCol w:w="680"/>
      </w:tblGrid>
      <w:tr w:rsidR="00435A64">
        <w:trPr>
          <w:trHeight w:val="543"/>
          <w:jc w:val="center"/>
        </w:trPr>
        <w:tc>
          <w:tcPr>
            <w:tcW w:w="4859"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sz w:val="24"/>
              </w:rPr>
              <w:t>（本列数据的勾稽关系为：第一项加第二项之和，等于第三项加第四项之和）</w:t>
            </w:r>
          </w:p>
        </w:tc>
        <w:tc>
          <w:tcPr>
            <w:tcW w:w="4760"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申请人情况</w:t>
            </w:r>
          </w:p>
        </w:tc>
      </w:tr>
      <w:tr w:rsidR="00435A64">
        <w:trPr>
          <w:trHeight w:val="543"/>
          <w:jc w:val="center"/>
        </w:trPr>
        <w:tc>
          <w:tcPr>
            <w:tcW w:w="4859" w:type="dxa"/>
            <w:gridSpan w:val="3"/>
            <w:vMerge/>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35A64" w:rsidRDefault="00435A64">
            <w:pPr>
              <w:spacing w:line="540" w:lineRule="exact"/>
              <w:jc w:val="center"/>
              <w:rPr>
                <w:rFonts w:ascii="仿宋" w:eastAsia="仿宋" w:hAnsi="仿宋" w:cs="仿宋"/>
                <w:sz w:val="24"/>
              </w:rPr>
            </w:pPr>
          </w:p>
        </w:tc>
        <w:tc>
          <w:tcPr>
            <w:tcW w:w="6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自然</w:t>
            </w:r>
            <w:r>
              <w:rPr>
                <w:rFonts w:ascii="仿宋" w:eastAsia="仿宋" w:hAnsi="仿宋" w:cs="仿宋" w:hint="eastAsia"/>
                <w:sz w:val="24"/>
              </w:rPr>
              <w:lastRenderedPageBreak/>
              <w:t>人</w:t>
            </w:r>
          </w:p>
        </w:tc>
        <w:tc>
          <w:tcPr>
            <w:tcW w:w="3400"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lastRenderedPageBreak/>
              <w:t>法人或其他组织</w:t>
            </w:r>
          </w:p>
        </w:tc>
        <w:tc>
          <w:tcPr>
            <w:tcW w:w="6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总计</w:t>
            </w:r>
          </w:p>
        </w:tc>
      </w:tr>
      <w:tr w:rsidR="00435A64">
        <w:trPr>
          <w:trHeight w:val="1598"/>
          <w:jc w:val="center"/>
        </w:trPr>
        <w:tc>
          <w:tcPr>
            <w:tcW w:w="4859" w:type="dxa"/>
            <w:gridSpan w:val="3"/>
            <w:vMerge/>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35A64" w:rsidRDefault="00435A64">
            <w:pPr>
              <w:spacing w:line="540" w:lineRule="exact"/>
              <w:jc w:val="center"/>
              <w:rPr>
                <w:rFonts w:ascii="仿宋" w:eastAsia="仿宋" w:hAnsi="仿宋" w:cs="仿宋"/>
                <w:sz w:val="24"/>
              </w:rPr>
            </w:pPr>
          </w:p>
        </w:tc>
        <w:tc>
          <w:tcPr>
            <w:tcW w:w="680"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商业</w:t>
            </w:r>
          </w:p>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企业</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科研</w:t>
            </w:r>
          </w:p>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机构</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社会公益组织</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法律服务机构</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其他</w:t>
            </w:r>
          </w:p>
        </w:tc>
        <w:tc>
          <w:tcPr>
            <w:tcW w:w="680"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r>
      <w:tr w:rsidR="00435A64">
        <w:trPr>
          <w:trHeight w:val="543"/>
          <w:jc w:val="center"/>
        </w:trPr>
        <w:tc>
          <w:tcPr>
            <w:tcW w:w="485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lastRenderedPageBreak/>
              <w:t>一、本年新收政府信息公开申请数量</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485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二、上年结转政府信息公开申请数量</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三、本年度办理结果</w:t>
            </w:r>
          </w:p>
        </w:tc>
        <w:tc>
          <w:tcPr>
            <w:tcW w:w="412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（一）予以公开</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915"/>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412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（二）部分公开（区分处理的，只计这一情形，不计其他情形）</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（三）不予公开</w:t>
            </w: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1.属于国家秘密</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sidRPr="009C378B">
              <w:rPr>
                <w:rFonts w:ascii="仿宋" w:eastAsia="仿宋" w:hAnsi="仿宋" w:cs="仿宋" w:hint="eastAsia"/>
                <w:w w:val="92"/>
                <w:kern w:val="0"/>
                <w:sz w:val="24"/>
                <w:fitText w:val="2880" w:id="683289644"/>
              </w:rPr>
              <w:t>2.其他法律行政法规禁止公</w:t>
            </w:r>
            <w:r w:rsidRPr="009C378B">
              <w:rPr>
                <w:rFonts w:ascii="仿宋" w:eastAsia="仿宋" w:hAnsi="仿宋" w:cs="仿宋" w:hint="eastAsia"/>
                <w:spacing w:val="36"/>
                <w:w w:val="92"/>
                <w:kern w:val="0"/>
                <w:sz w:val="24"/>
                <w:fitText w:val="2880" w:id="683289644"/>
              </w:rPr>
              <w:t>开</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3.危及“三安全一稳定”</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4.保护第三方合法权益</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5.属于三类内部事务信息</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6.属于四类过程性信息</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7.属于行政执法案卷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8.属于行政查询事项</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（四）无法提供</w:t>
            </w: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w w:val="90"/>
                <w:sz w:val="24"/>
              </w:rPr>
              <w:t>1.本机关不掌握相关政府信息</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70"/>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w w:val="90"/>
                <w:sz w:val="24"/>
              </w:rPr>
              <w:t>2.没有现成信息需要另行制作</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3.补正后申请内容仍不明确</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（五）不予处理</w:t>
            </w: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1.信访举报投诉类申请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2.重复申请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3.要求提供公开出版物</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4.无正当理由大量反复申请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rsidTr="0028393A">
        <w:trPr>
          <w:trHeight w:val="1071"/>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5.要求行政机关确认或重新出具已获取信息</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rsidTr="0028393A">
        <w:trPr>
          <w:trHeight w:val="1598"/>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（六）其他处理</w:t>
            </w: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1.申请人无正当理由逾期不补正、行政机关不再处理其政府信息公开申请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rsidTr="0028393A">
        <w:trPr>
          <w:trHeight w:val="1598"/>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2.申请人逾期未按收费通知要求缴纳费用、行政机关不再处理其政府信息公开申请</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3.其他</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43"/>
          <w:jc w:val="center"/>
        </w:trPr>
        <w:tc>
          <w:tcPr>
            <w:tcW w:w="736" w:type="dxa"/>
            <w:vMerge/>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435A64">
            <w:pPr>
              <w:spacing w:line="540" w:lineRule="exact"/>
              <w:jc w:val="center"/>
              <w:rPr>
                <w:rFonts w:ascii="仿宋" w:eastAsia="仿宋" w:hAnsi="仿宋" w:cs="仿宋"/>
                <w:sz w:val="24"/>
              </w:rPr>
            </w:pPr>
          </w:p>
        </w:tc>
        <w:tc>
          <w:tcPr>
            <w:tcW w:w="412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（七）总计</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r>
      <w:tr w:rsidR="00435A64">
        <w:trPr>
          <w:trHeight w:val="558"/>
          <w:jc w:val="center"/>
        </w:trPr>
        <w:tc>
          <w:tcPr>
            <w:tcW w:w="485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四、结转下年度继续办理</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0</w:t>
            </w:r>
          </w:p>
        </w:tc>
      </w:tr>
    </w:tbl>
    <w:p w:rsidR="00435A64" w:rsidRDefault="00435A64">
      <w:pPr>
        <w:widowControl/>
        <w:jc w:val="left"/>
      </w:pPr>
    </w:p>
    <w:p w:rsidR="00435A64" w:rsidRDefault="00435A64">
      <w:pPr>
        <w:spacing w:line="540" w:lineRule="exact"/>
        <w:ind w:left="640"/>
        <w:rPr>
          <w:rFonts w:ascii="仿宋" w:eastAsia="仿宋" w:hAnsi="仿宋" w:cs="仿宋"/>
        </w:rPr>
      </w:pPr>
    </w:p>
    <w:p w:rsidR="00435A64" w:rsidRDefault="00B60B30">
      <w:pPr>
        <w:spacing w:line="540" w:lineRule="exact"/>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435A64">
        <w:tc>
          <w:tcPr>
            <w:tcW w:w="2840" w:type="dxa"/>
            <w:gridSpan w:val="5"/>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行政复议</w:t>
            </w:r>
          </w:p>
        </w:tc>
        <w:tc>
          <w:tcPr>
            <w:tcW w:w="5680" w:type="dxa"/>
            <w:gridSpan w:val="10"/>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行政诉讼</w:t>
            </w:r>
          </w:p>
        </w:tc>
      </w:tr>
      <w:tr w:rsidR="00435A64">
        <w:tc>
          <w:tcPr>
            <w:tcW w:w="568" w:type="dxa"/>
            <w:vMerge w:val="restart"/>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结果维持</w:t>
            </w:r>
          </w:p>
        </w:tc>
        <w:tc>
          <w:tcPr>
            <w:tcW w:w="568" w:type="dxa"/>
            <w:vMerge w:val="restart"/>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vMerge w:val="restart"/>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vMerge w:val="restart"/>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vMerge w:val="restart"/>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总计</w:t>
            </w:r>
          </w:p>
        </w:tc>
        <w:tc>
          <w:tcPr>
            <w:tcW w:w="2840" w:type="dxa"/>
            <w:gridSpan w:val="5"/>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435A64">
        <w:tc>
          <w:tcPr>
            <w:tcW w:w="568" w:type="dxa"/>
            <w:vMerge/>
            <w:shd w:val="clear" w:color="auto" w:fill="auto"/>
            <w:vAlign w:val="center"/>
          </w:tcPr>
          <w:p w:rsidR="00435A64" w:rsidRDefault="00435A64">
            <w:pPr>
              <w:spacing w:line="540" w:lineRule="exact"/>
              <w:jc w:val="center"/>
              <w:rPr>
                <w:rFonts w:ascii="仿宋" w:eastAsia="仿宋" w:hAnsi="仿宋" w:cs="仿宋"/>
                <w:sz w:val="24"/>
              </w:rPr>
            </w:pPr>
          </w:p>
        </w:tc>
        <w:tc>
          <w:tcPr>
            <w:tcW w:w="568" w:type="dxa"/>
            <w:vMerge/>
            <w:shd w:val="clear" w:color="auto" w:fill="auto"/>
            <w:vAlign w:val="center"/>
          </w:tcPr>
          <w:p w:rsidR="00435A64" w:rsidRDefault="00435A64">
            <w:pPr>
              <w:spacing w:line="540" w:lineRule="exact"/>
              <w:jc w:val="center"/>
              <w:rPr>
                <w:rFonts w:ascii="仿宋" w:eastAsia="仿宋" w:hAnsi="仿宋" w:cs="仿宋"/>
                <w:sz w:val="24"/>
              </w:rPr>
            </w:pPr>
          </w:p>
        </w:tc>
        <w:tc>
          <w:tcPr>
            <w:tcW w:w="568" w:type="dxa"/>
            <w:vMerge/>
            <w:shd w:val="clear" w:color="auto" w:fill="auto"/>
            <w:vAlign w:val="center"/>
          </w:tcPr>
          <w:p w:rsidR="00435A64" w:rsidRDefault="00435A64">
            <w:pPr>
              <w:spacing w:line="540" w:lineRule="exact"/>
              <w:jc w:val="center"/>
              <w:rPr>
                <w:rFonts w:ascii="仿宋" w:eastAsia="仿宋" w:hAnsi="仿宋" w:cs="仿宋"/>
                <w:sz w:val="24"/>
              </w:rPr>
            </w:pPr>
          </w:p>
        </w:tc>
        <w:tc>
          <w:tcPr>
            <w:tcW w:w="568" w:type="dxa"/>
            <w:vMerge/>
            <w:shd w:val="clear" w:color="auto" w:fill="auto"/>
            <w:vAlign w:val="center"/>
          </w:tcPr>
          <w:p w:rsidR="00435A64" w:rsidRDefault="00435A64">
            <w:pPr>
              <w:spacing w:line="540" w:lineRule="exact"/>
              <w:jc w:val="center"/>
              <w:rPr>
                <w:rFonts w:ascii="仿宋" w:eastAsia="仿宋" w:hAnsi="仿宋" w:cs="仿宋"/>
                <w:sz w:val="24"/>
              </w:rPr>
            </w:pPr>
          </w:p>
        </w:tc>
        <w:tc>
          <w:tcPr>
            <w:tcW w:w="568" w:type="dxa"/>
            <w:vMerge/>
            <w:shd w:val="clear" w:color="auto" w:fill="auto"/>
            <w:vAlign w:val="center"/>
          </w:tcPr>
          <w:p w:rsidR="00435A64" w:rsidRDefault="00435A64">
            <w:pPr>
              <w:spacing w:line="540" w:lineRule="exact"/>
              <w:jc w:val="center"/>
              <w:rPr>
                <w:rFonts w:ascii="仿宋" w:eastAsia="仿宋" w:hAnsi="仿宋" w:cs="仿宋"/>
                <w:sz w:val="24"/>
              </w:rPr>
            </w:pP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结果维持</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总计</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结果维持</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435A64" w:rsidRDefault="00B60B30">
            <w:pPr>
              <w:spacing w:line="540" w:lineRule="exact"/>
              <w:jc w:val="center"/>
              <w:rPr>
                <w:rFonts w:ascii="仿宋" w:eastAsia="仿宋" w:hAnsi="仿宋" w:cs="仿宋"/>
                <w:sz w:val="24"/>
              </w:rPr>
            </w:pPr>
            <w:r>
              <w:rPr>
                <w:rFonts w:ascii="仿宋" w:eastAsia="仿宋" w:hAnsi="仿宋" w:cs="仿宋" w:hint="eastAsia"/>
                <w:sz w:val="24"/>
              </w:rPr>
              <w:t>总计</w:t>
            </w:r>
          </w:p>
        </w:tc>
      </w:tr>
      <w:tr w:rsidR="00435A64" w:rsidTr="0028393A">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rsidR="00435A64" w:rsidRDefault="00B60B30" w:rsidP="0028393A">
            <w:pPr>
              <w:spacing w:line="540" w:lineRule="exact"/>
              <w:jc w:val="center"/>
              <w:rPr>
                <w:rFonts w:ascii="仿宋" w:eastAsia="仿宋" w:hAnsi="仿宋" w:cs="仿宋"/>
                <w:sz w:val="24"/>
              </w:rPr>
            </w:pPr>
            <w:r>
              <w:rPr>
                <w:rFonts w:ascii="仿宋" w:eastAsia="仿宋" w:hAnsi="仿宋" w:cs="仿宋" w:hint="eastAsia"/>
                <w:sz w:val="24"/>
              </w:rPr>
              <w:t>0</w:t>
            </w:r>
          </w:p>
        </w:tc>
      </w:tr>
    </w:tbl>
    <w:p w:rsidR="00435A64" w:rsidRDefault="00435A64">
      <w:pPr>
        <w:widowControl/>
        <w:shd w:val="clear" w:color="auto" w:fill="FFFFFF"/>
        <w:rPr>
          <w:rFonts w:ascii="宋体" w:eastAsia="宋体" w:hAnsi="宋体" w:cs="宋体"/>
          <w:color w:val="333333"/>
          <w:sz w:val="32"/>
          <w:szCs w:val="32"/>
        </w:rPr>
      </w:pPr>
    </w:p>
    <w:p w:rsidR="00435A64" w:rsidRDefault="00B60B30">
      <w:pPr>
        <w:pStyle w:val="a3"/>
        <w:widowControl/>
        <w:shd w:val="clear" w:color="auto" w:fill="FFFFFF"/>
        <w:spacing w:beforeAutospacing="0" w:afterAutospacing="0"/>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五、存在的主要问题及改进情况</w:t>
      </w:r>
    </w:p>
    <w:p w:rsidR="00435A64" w:rsidRDefault="00B60B30">
      <w:pPr>
        <w:widowControl/>
        <w:shd w:val="clear" w:color="auto" w:fill="FFFFFF"/>
        <w:spacing w:line="560" w:lineRule="exact"/>
        <w:ind w:firstLineChars="200"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2022年，城管局政务公开工作取得了一定成绩，仍存在</w:t>
      </w:r>
      <w:r w:rsidR="00610DE3">
        <w:rPr>
          <w:rFonts w:ascii="仿宋" w:eastAsia="仿宋" w:hAnsi="仿宋" w:cs="仿宋" w:hint="eastAsia"/>
          <w:color w:val="333333"/>
          <w:kern w:val="0"/>
          <w:sz w:val="32"/>
          <w:szCs w:val="32"/>
          <w:shd w:val="clear" w:color="auto" w:fill="FFFFFF"/>
        </w:rPr>
        <w:t>相关业务知识学习不全面，对政府信息公开工作认识不足，学习的自动性和自觉性不强</w:t>
      </w:r>
      <w:r>
        <w:rPr>
          <w:rFonts w:ascii="仿宋" w:eastAsia="仿宋" w:hAnsi="仿宋" w:cs="仿宋" w:hint="eastAsia"/>
          <w:color w:val="333333"/>
          <w:kern w:val="0"/>
          <w:sz w:val="32"/>
          <w:szCs w:val="32"/>
          <w:shd w:val="clear" w:color="auto" w:fill="FFFFFF"/>
        </w:rPr>
        <w:t>等问题。</w:t>
      </w:r>
    </w:p>
    <w:p w:rsidR="00435A64" w:rsidRDefault="00610DE3" w:rsidP="00610DE3">
      <w:pPr>
        <w:widowControl/>
        <w:shd w:val="clear" w:color="auto" w:fill="FFFFFF"/>
        <w:spacing w:line="560" w:lineRule="exact"/>
        <w:ind w:firstLineChars="200"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lastRenderedPageBreak/>
        <w:t>今后</w:t>
      </w:r>
      <w:r w:rsidR="00B60B30">
        <w:rPr>
          <w:rFonts w:ascii="仿宋" w:eastAsia="仿宋" w:hAnsi="仿宋" w:cs="仿宋" w:hint="eastAsia"/>
          <w:color w:val="333333"/>
          <w:kern w:val="0"/>
          <w:sz w:val="32"/>
          <w:szCs w:val="32"/>
          <w:shd w:val="clear" w:color="auto" w:fill="FFFFFF"/>
        </w:rPr>
        <w:t>，城管局将进一步</w:t>
      </w:r>
      <w:r>
        <w:rPr>
          <w:rFonts w:ascii="仿宋" w:eastAsia="仿宋" w:hAnsi="仿宋" w:cs="仿宋" w:hint="eastAsia"/>
          <w:color w:val="333333"/>
          <w:kern w:val="0"/>
          <w:sz w:val="32"/>
          <w:szCs w:val="32"/>
          <w:shd w:val="clear" w:color="auto" w:fill="FFFFFF"/>
        </w:rPr>
        <w:t>加大对业务人员的学习和培训，提高他们对政府信息公开工作重要性的认识，增加政府信息公开的主动性和自觉性。牢牢把握信息公开的主体和原则、范围和内容、方式和程序，确保信息全面、及时、准确</w:t>
      </w:r>
      <w:r w:rsidR="009C378B">
        <w:rPr>
          <w:rFonts w:ascii="仿宋" w:eastAsia="仿宋" w:hAnsi="仿宋" w:cs="仿宋" w:hint="eastAsia"/>
          <w:color w:val="333333"/>
          <w:kern w:val="0"/>
          <w:sz w:val="32"/>
          <w:szCs w:val="32"/>
          <w:shd w:val="clear" w:color="auto" w:fill="FFFFFF"/>
        </w:rPr>
        <w:t>地</w:t>
      </w:r>
      <w:r>
        <w:rPr>
          <w:rFonts w:ascii="仿宋" w:eastAsia="仿宋" w:hAnsi="仿宋" w:cs="仿宋" w:hint="eastAsia"/>
          <w:color w:val="333333"/>
          <w:kern w:val="0"/>
          <w:sz w:val="32"/>
          <w:szCs w:val="32"/>
          <w:shd w:val="clear" w:color="auto" w:fill="FFFFFF"/>
        </w:rPr>
        <w:t>公开。</w:t>
      </w:r>
    </w:p>
    <w:p w:rsidR="00435A64" w:rsidRDefault="00435A64">
      <w:pPr>
        <w:pStyle w:val="a3"/>
        <w:widowControl/>
        <w:shd w:val="clear" w:color="auto" w:fill="FFFFFF"/>
        <w:spacing w:beforeAutospacing="0" w:afterAutospacing="0"/>
        <w:ind w:firstLine="420"/>
        <w:jc w:val="both"/>
        <w:rPr>
          <w:rFonts w:ascii="宋体" w:eastAsia="宋体" w:hAnsi="宋体" w:cs="宋体"/>
          <w:b/>
          <w:color w:val="333333"/>
          <w:sz w:val="32"/>
          <w:szCs w:val="32"/>
          <w:shd w:val="clear" w:color="auto" w:fill="FFFFFF"/>
        </w:rPr>
      </w:pPr>
    </w:p>
    <w:p w:rsidR="00435A64" w:rsidRDefault="00B60B30">
      <w:pPr>
        <w:pStyle w:val="a3"/>
        <w:widowControl/>
        <w:shd w:val="clear" w:color="auto" w:fill="FFFFFF"/>
        <w:spacing w:beforeAutospacing="0" w:afterAutospacing="0"/>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六、其他需要报告的事项</w:t>
      </w:r>
    </w:p>
    <w:p w:rsidR="00435A64" w:rsidRDefault="00B60B30">
      <w:pPr>
        <w:pStyle w:val="a3"/>
        <w:widowControl/>
        <w:shd w:val="clear" w:color="auto" w:fill="FFFFFF"/>
        <w:spacing w:beforeAutospacing="0" w:afterAutospacing="0"/>
        <w:ind w:firstLineChars="200" w:firstLine="640"/>
        <w:jc w:val="both"/>
        <w:rPr>
          <w:sz w:val="32"/>
          <w:szCs w:val="32"/>
        </w:rPr>
      </w:pPr>
      <w:r>
        <w:rPr>
          <w:rFonts w:ascii="仿宋" w:eastAsia="仿宋" w:hAnsi="仿宋" w:cs="仿宋" w:hint="eastAsia"/>
          <w:color w:val="333333"/>
          <w:sz w:val="32"/>
          <w:szCs w:val="32"/>
          <w:shd w:val="clear" w:color="auto" w:fill="FFFFFF"/>
        </w:rPr>
        <w:t>已在信息公开指南中发布依申请公开收费标准，2022年</w:t>
      </w:r>
      <w:r w:rsidR="009C378B">
        <w:rPr>
          <w:rFonts w:ascii="仿宋" w:eastAsia="仿宋" w:hAnsi="仿宋" w:cs="仿宋" w:hint="eastAsia"/>
          <w:color w:val="333333"/>
          <w:sz w:val="32"/>
          <w:szCs w:val="32"/>
          <w:shd w:val="clear" w:color="auto" w:fill="FFFFFF"/>
        </w:rPr>
        <w:t>县</w:t>
      </w:r>
      <w:r>
        <w:rPr>
          <w:rFonts w:ascii="仿宋" w:eastAsia="仿宋" w:hAnsi="仿宋" w:cs="仿宋" w:hint="eastAsia"/>
          <w:color w:val="333333"/>
          <w:sz w:val="32"/>
          <w:szCs w:val="32"/>
          <w:shd w:val="clear" w:color="auto" w:fill="FFFFFF"/>
        </w:rPr>
        <w:t>城管局无收取信息处理费情况。</w:t>
      </w:r>
    </w:p>
    <w:sectPr w:rsidR="00435A64" w:rsidSect="00435A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DB681"/>
    <w:multiLevelType w:val="singleLevel"/>
    <w:tmpl w:val="E49DB681"/>
    <w:lvl w:ilvl="0">
      <w:start w:val="1"/>
      <w:numFmt w:val="chineseCounting"/>
      <w:suff w:val="nothing"/>
      <w:lvlText w:val="%1、"/>
      <w:lvlJc w:val="left"/>
      <w:rPr>
        <w:rFonts w:hint="eastAsia"/>
      </w:rPr>
    </w:lvl>
  </w:abstractNum>
  <w:abstractNum w:abstractNumId="1">
    <w:nsid w:val="128F45C3"/>
    <w:multiLevelType w:val="singleLevel"/>
    <w:tmpl w:val="128F45C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FiM2IzZjVlYTljODZmMTg5ZGUyMDZmNmI0NWQzYWEifQ=="/>
  </w:docVars>
  <w:rsids>
    <w:rsidRoot w:val="00435A64"/>
    <w:rsid w:val="00104704"/>
    <w:rsid w:val="00130793"/>
    <w:rsid w:val="0028393A"/>
    <w:rsid w:val="00435A64"/>
    <w:rsid w:val="00610DE3"/>
    <w:rsid w:val="009C378B"/>
    <w:rsid w:val="00A22457"/>
    <w:rsid w:val="00B60B30"/>
    <w:rsid w:val="00C72EF2"/>
    <w:rsid w:val="00F25C0A"/>
    <w:rsid w:val="072F4BA5"/>
    <w:rsid w:val="0BD0037E"/>
    <w:rsid w:val="0F42566A"/>
    <w:rsid w:val="0FE32618"/>
    <w:rsid w:val="13CC3B21"/>
    <w:rsid w:val="17534F7D"/>
    <w:rsid w:val="1B931963"/>
    <w:rsid w:val="22923CA7"/>
    <w:rsid w:val="22E26EC9"/>
    <w:rsid w:val="23B06487"/>
    <w:rsid w:val="2480713E"/>
    <w:rsid w:val="2577031A"/>
    <w:rsid w:val="4A3577E4"/>
    <w:rsid w:val="519D4381"/>
    <w:rsid w:val="566E50F8"/>
    <w:rsid w:val="56857A37"/>
    <w:rsid w:val="58A4192B"/>
    <w:rsid w:val="5ABA5A4E"/>
    <w:rsid w:val="5BA359BF"/>
    <w:rsid w:val="5FCE6A83"/>
    <w:rsid w:val="5FEB66AA"/>
    <w:rsid w:val="641A130C"/>
    <w:rsid w:val="6EB37BB7"/>
    <w:rsid w:val="6EB526D3"/>
    <w:rsid w:val="6EC41F3F"/>
    <w:rsid w:val="77707769"/>
    <w:rsid w:val="7B440FF1"/>
    <w:rsid w:val="7D7C7DE7"/>
    <w:rsid w:val="7E851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A6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35A6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2024-01-26T07:40:00Z</dcterms:created>
  <dcterms:modified xsi:type="dcterms:W3CDTF">2024-01-26T09:10:00Z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27BF3EF3799749D1A85DAE3CC1D64587</vt:lpwstr>
  </property>
</Properties>
</file>