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rPr>
      </w:pPr>
      <w:r>
        <w:rPr>
          <w:rFonts w:hint="eastAsia" w:ascii="宋体" w:hAnsi="宋体" w:eastAsia="宋体" w:cs="宋体"/>
          <w:b/>
          <w:i w:val="0"/>
          <w:caps w:val="0"/>
          <w:color w:val="333333"/>
          <w:spacing w:val="0"/>
          <w:sz w:val="44"/>
          <w:szCs w:val="44"/>
          <w:highlight w:val="none"/>
          <w:shd w:val="clear" w:fill="FFFFFF"/>
          <w:lang w:val="en-US" w:eastAsia="zh-CN"/>
        </w:rPr>
        <w:t>花桥乡</w:t>
      </w:r>
      <w:r>
        <w:rPr>
          <w:rFonts w:hint="eastAsia" w:ascii="宋体" w:hAnsi="宋体" w:eastAsia="宋体" w:cs="宋体"/>
          <w:b/>
          <w:i w:val="0"/>
          <w:caps w:val="0"/>
          <w:color w:val="333333"/>
          <w:spacing w:val="0"/>
          <w:sz w:val="44"/>
          <w:szCs w:val="44"/>
          <w:shd w:val="clear" w:fill="FFFFFF"/>
          <w:lang w:val="en-US" w:eastAsia="zh-CN"/>
        </w:rPr>
        <w:t>2022年</w:t>
      </w:r>
      <w:r>
        <w:rPr>
          <w:rFonts w:hint="eastAsia" w:ascii="宋体" w:hAnsi="宋体" w:eastAsia="宋体" w:cs="宋体"/>
          <w:b/>
          <w:i w:val="0"/>
          <w:caps w:val="0"/>
          <w:color w:val="333333"/>
          <w:spacing w:val="0"/>
          <w:sz w:val="44"/>
          <w:szCs w:val="44"/>
          <w:shd w:val="clear" w:fill="FFFFFF"/>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333333"/>
          <w:spacing w:val="0"/>
          <w:sz w:val="32"/>
          <w:szCs w:val="32"/>
          <w:lang w:eastAsia="zh-CN"/>
        </w:rPr>
      </w:pPr>
      <w:r>
        <w:rPr>
          <w:rFonts w:hint="eastAsia" w:ascii="仿宋" w:hAnsi="仿宋" w:eastAsia="仿宋" w:cs="仿宋"/>
          <w:i w:val="0"/>
          <w:caps w:val="0"/>
          <w:color w:val="333333"/>
          <w:spacing w:val="0"/>
          <w:sz w:val="32"/>
          <w:szCs w:val="32"/>
        </w:rPr>
        <w:t>本报告依据《中华人民共和国政府信息公开条例》（国务院令第711号，以下简称新《条例》）和</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rPr>
        <w:t>国务院办公厅政府信息与政务公开办公室关于印发&lt;中华人民共和国政府信息公开工作年度报告格式&gt;的通知</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rPr>
        <w:t>（国办公开办函〔20</w:t>
      </w:r>
      <w:r>
        <w:rPr>
          <w:rFonts w:hint="eastAsia" w:ascii="仿宋" w:hAnsi="仿宋" w:eastAsia="仿宋" w:cs="仿宋"/>
          <w:i w:val="0"/>
          <w:caps w:val="0"/>
          <w:color w:val="333333"/>
          <w:spacing w:val="0"/>
          <w:sz w:val="32"/>
          <w:szCs w:val="32"/>
          <w:lang w:val="en-US" w:eastAsia="zh-CN"/>
        </w:rPr>
        <w:t>21</w:t>
      </w:r>
      <w:r>
        <w:rPr>
          <w:rFonts w:hint="eastAsia" w:ascii="仿宋" w:hAnsi="仿宋" w:eastAsia="仿宋" w:cs="仿宋"/>
          <w:i w:val="0"/>
          <w:caps w:val="0"/>
          <w:color w:val="333333"/>
          <w:spacing w:val="0"/>
          <w:sz w:val="32"/>
          <w:szCs w:val="32"/>
        </w:rPr>
        <w:t>〕</w:t>
      </w:r>
      <w:r>
        <w:rPr>
          <w:rFonts w:hint="eastAsia" w:ascii="仿宋" w:hAnsi="仿宋" w:eastAsia="仿宋" w:cs="仿宋"/>
          <w:i w:val="0"/>
          <w:caps w:val="0"/>
          <w:color w:val="333333"/>
          <w:spacing w:val="0"/>
          <w:sz w:val="32"/>
          <w:szCs w:val="32"/>
          <w:lang w:val="en-US" w:eastAsia="zh-CN"/>
        </w:rPr>
        <w:t>3</w:t>
      </w:r>
      <w:r>
        <w:rPr>
          <w:rFonts w:hint="eastAsia" w:ascii="仿宋" w:hAnsi="仿宋" w:eastAsia="仿宋" w:cs="仿宋"/>
          <w:i w:val="0"/>
          <w:caps w:val="0"/>
          <w:color w:val="333333"/>
          <w:spacing w:val="0"/>
          <w:sz w:val="32"/>
          <w:szCs w:val="32"/>
        </w:rPr>
        <w:t>0号）要求，由</w:t>
      </w:r>
      <w:r>
        <w:rPr>
          <w:rFonts w:hint="eastAsia" w:ascii="仿宋" w:hAnsi="仿宋" w:eastAsia="仿宋" w:cs="仿宋"/>
          <w:i w:val="0"/>
          <w:caps w:val="0"/>
          <w:color w:val="333333"/>
          <w:spacing w:val="0"/>
          <w:sz w:val="32"/>
          <w:szCs w:val="32"/>
          <w:lang w:val="en-US" w:eastAsia="zh-CN"/>
        </w:rPr>
        <w:t>花桥乡</w:t>
      </w:r>
      <w:r>
        <w:rPr>
          <w:rFonts w:hint="eastAsia" w:ascii="仿宋" w:hAnsi="仿宋" w:eastAsia="仿宋" w:cs="仿宋"/>
          <w:i w:val="0"/>
          <w:caps w:val="0"/>
          <w:color w:val="333333"/>
          <w:spacing w:val="0"/>
          <w:sz w:val="32"/>
          <w:szCs w:val="32"/>
        </w:rPr>
        <w:t>结合有关统计数据编制。本年度报告中所列数据的统计期限自</w:t>
      </w:r>
      <w:r>
        <w:rPr>
          <w:rFonts w:hint="eastAsia" w:ascii="仿宋" w:hAnsi="仿宋" w:eastAsia="仿宋" w:cs="仿宋"/>
          <w:i w:val="0"/>
          <w:caps w:val="0"/>
          <w:color w:val="333333"/>
          <w:spacing w:val="0"/>
          <w:sz w:val="32"/>
          <w:szCs w:val="32"/>
          <w:lang w:val="en-US" w:eastAsia="zh-CN"/>
        </w:rPr>
        <w:t>2022</w:t>
      </w:r>
      <w:r>
        <w:rPr>
          <w:rFonts w:hint="eastAsia" w:ascii="仿宋" w:hAnsi="仿宋" w:eastAsia="仿宋" w:cs="仿宋"/>
          <w:i w:val="0"/>
          <w:caps w:val="0"/>
          <w:color w:val="333333"/>
          <w:spacing w:val="0"/>
          <w:sz w:val="32"/>
          <w:szCs w:val="32"/>
        </w:rPr>
        <w:t>年1月1日起至</w:t>
      </w:r>
      <w:r>
        <w:rPr>
          <w:rFonts w:hint="eastAsia" w:ascii="仿宋" w:hAnsi="仿宋" w:eastAsia="仿宋" w:cs="仿宋"/>
          <w:i w:val="0"/>
          <w:caps w:val="0"/>
          <w:color w:val="333333"/>
          <w:spacing w:val="0"/>
          <w:sz w:val="32"/>
          <w:szCs w:val="32"/>
          <w:lang w:val="en-US" w:eastAsia="zh-CN"/>
        </w:rPr>
        <w:t>2022</w:t>
      </w:r>
      <w:r>
        <w:rPr>
          <w:rFonts w:hint="eastAsia" w:ascii="仿宋" w:hAnsi="仿宋" w:eastAsia="仿宋" w:cs="仿宋"/>
          <w:i w:val="0"/>
          <w:caps w:val="0"/>
          <w:color w:val="333333"/>
          <w:spacing w:val="0"/>
          <w:sz w:val="32"/>
          <w:szCs w:val="32"/>
        </w:rPr>
        <w:t>年12月31日止。全文包括主动公开、依申请公开、政府信息管理、平台建设、监督保障（含《中华人民共和国政府信息公开条例》第五十条第四项规定的各级人民政府“工作考核、社会评议和责任追究结果情况”）等方面。本年度报告的电子版可以从</w:t>
      </w:r>
      <w:r>
        <w:rPr>
          <w:rFonts w:hint="eastAsia" w:ascii="仿宋" w:hAnsi="仿宋" w:eastAsia="仿宋" w:cs="仿宋"/>
          <w:i w:val="0"/>
          <w:caps w:val="0"/>
          <w:color w:val="333333"/>
          <w:spacing w:val="0"/>
          <w:sz w:val="32"/>
          <w:szCs w:val="32"/>
          <w:lang w:val="en-US" w:eastAsia="zh-CN"/>
        </w:rPr>
        <w:t>宜丰县</w:t>
      </w:r>
      <w:r>
        <w:rPr>
          <w:rFonts w:hint="eastAsia" w:ascii="仿宋" w:hAnsi="仿宋" w:eastAsia="仿宋" w:cs="仿宋"/>
          <w:i w:val="0"/>
          <w:caps w:val="0"/>
          <w:color w:val="333333"/>
          <w:spacing w:val="0"/>
          <w:sz w:val="32"/>
          <w:szCs w:val="32"/>
        </w:rPr>
        <w:t>人民政府网站（</w:t>
      </w:r>
      <w:r>
        <w:rPr>
          <w:rFonts w:hint="eastAsia" w:ascii="仿宋" w:hAnsi="仿宋" w:eastAsia="仿宋" w:cs="仿宋"/>
          <w:i w:val="0"/>
          <w:caps w:val="0"/>
          <w:color w:val="333333"/>
          <w:spacing w:val="0"/>
          <w:sz w:val="32"/>
          <w:szCs w:val="32"/>
          <w:lang w:val="en-US" w:eastAsia="zh-CN"/>
        </w:rPr>
        <w:t>www.jxyf.gov.cn</w:t>
      </w:r>
      <w:r>
        <w:rPr>
          <w:rFonts w:hint="eastAsia" w:ascii="仿宋" w:hAnsi="仿宋" w:eastAsia="仿宋" w:cs="仿宋"/>
          <w:i w:val="0"/>
          <w:caps w:val="0"/>
          <w:color w:val="333333"/>
          <w:spacing w:val="0"/>
          <w:sz w:val="32"/>
          <w:szCs w:val="32"/>
        </w:rPr>
        <w:t>）下载。如对本报告有任何疑问，请与</w:t>
      </w:r>
      <w:r>
        <w:rPr>
          <w:rFonts w:hint="eastAsia" w:ascii="仿宋" w:hAnsi="仿宋" w:eastAsia="仿宋" w:cs="仿宋"/>
          <w:i w:val="0"/>
          <w:caps w:val="0"/>
          <w:color w:val="333333"/>
          <w:spacing w:val="0"/>
          <w:sz w:val="32"/>
          <w:szCs w:val="32"/>
          <w:lang w:val="en-US" w:eastAsia="zh-CN"/>
        </w:rPr>
        <w:t>花桥乡</w:t>
      </w:r>
      <w:r>
        <w:rPr>
          <w:rFonts w:hint="eastAsia" w:ascii="仿宋" w:hAnsi="仿宋" w:eastAsia="仿宋" w:cs="仿宋"/>
          <w:i w:val="0"/>
          <w:caps w:val="0"/>
          <w:color w:val="333333"/>
          <w:spacing w:val="0"/>
          <w:sz w:val="32"/>
          <w:szCs w:val="32"/>
        </w:rPr>
        <w:t>联系（（地址：江西省宜春市宜丰县花桥乡人民政府，电话：2956866，邮编：336306）。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b/>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lang w:val="en-US" w:eastAsia="zh-CN"/>
        </w:rPr>
        <w:t>2022年</w:t>
      </w:r>
      <w:r>
        <w:rPr>
          <w:rFonts w:hint="eastAsia" w:ascii="仿宋" w:hAnsi="仿宋" w:eastAsia="仿宋" w:cs="仿宋"/>
          <w:i w:val="0"/>
          <w:caps w:val="0"/>
          <w:color w:val="333333"/>
          <w:spacing w:val="0"/>
          <w:sz w:val="32"/>
          <w:szCs w:val="32"/>
        </w:rPr>
        <w:t>花桥乡</w:t>
      </w:r>
      <w:r>
        <w:rPr>
          <w:rFonts w:hint="eastAsia" w:ascii="仿宋" w:hAnsi="仿宋" w:eastAsia="仿宋" w:cs="仿宋"/>
          <w:i w:val="0"/>
          <w:caps w:val="0"/>
          <w:color w:val="333333"/>
          <w:spacing w:val="0"/>
          <w:sz w:val="32"/>
          <w:szCs w:val="32"/>
          <w:shd w:val="clear" w:fill="FFFFFF"/>
          <w:lang w:val="en-US" w:eastAsia="zh-CN"/>
        </w:rPr>
        <w:t>坚持以习近平新时代中国特色社会主义思想为指导，深入贯彻党的二十大精神，严格落实《条例》和《国务院办公厅关于印发2022年政务公开工作要点的通知》（国办发〔2022〕8号）的要求。同时积极对《宜丰县人民政府办公室关于印发2022年宜丰县政务公开工作要点的通知》（宜府办字〔2022〕32号）明确目标任务，紧紧围绕省委、省政府中心工作及社会群众关注关切，强政策发布的力度和时效，持续提升公开质量和治理效能，取得积极成效。2022年在宜丰县政府网信息公开平台公开政府信息共计76条。</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主动公开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2022年以来，我乡通过网站、公告栏等渠道主动公开工作动态、通知公告、人事信息、政策性文件等内容类70余条，严格按照相应的时限要求及时更新或发布新消息。自觉接受人大监督、民主监督、司法监督，及时答复公开提案办理情况。</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依申请公开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除行政机关主动公开的政府信息外，公民、法人或者其他组织可以向地方各级人民政府、对外以自己名义履行行政管理职能的县级以上人民政府部门申请获取相关政府信息。</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政府信息管理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1.规范化标准化建设：推进对信息公开内容的规范。按照“全面、深入、规范”的原则，将“事权、财权、人权”纳入政务公开范围，把宣传教育、政策法规作为推进政府信息公开工作的重要抓手。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2.数字化管理：2022年花桥乡主动公开政府信息百余条，涵盖工作动态、公开指南、依申请公开、概括信息、法规文件、发展规划、人事信息等与人民群众生产生活以及经济社会发展紧密相关的各类信息。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3.规范信息审核发布机制：花桥乡加强对信息公开工作的领导。进一步完善领导机制，明确了一名党委委员分管政务公开工作，同时细化责任分工，明确工作职责，规范信息审核发布机制。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4.规范性文件清理：按照《关于开展党内规范性文件备案工作的通知》（宜党办发电〔2019〕130号）文件要求，做好规范性文件清理工作。</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平台建设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1.政府门户网站第一平台作用：按照上级要求，高标准建设同安乡政务公开体验区，为公民、法人或者其他组织获取政府信息提供方便。</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2.公开方式多样化：登入政府门户网站首页的“信息公开”栏目，浏览或使用搜索工具查找，也可以从政府公报、报刊、广播、电视等媒体获取政府公开信息。</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监督保障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公民、法人或者其他组织认为行政机关不依法履行政府信息公开义务的,可以向上级行政机关或者政府信息公开工作主管部门举报。</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FF0000"/>
          <w:kern w:val="2"/>
          <w:sz w:val="32"/>
          <w:szCs w:val="32"/>
          <w:lang w:val="en-US" w:eastAsia="zh-CN" w:bidi="ar-SA"/>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FF0000"/>
          <w:kern w:val="2"/>
          <w:sz w:val="32"/>
          <w:szCs w:val="32"/>
          <w:lang w:val="en-US" w:eastAsia="zh-CN" w:bidi="ar-SA"/>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3"/>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rPr>
              <w:t>本年</w:t>
            </w:r>
            <w:r>
              <w:rPr>
                <w:rFonts w:hint="eastAsia" w:ascii="仿宋" w:hAnsi="仿宋" w:eastAsia="仿宋" w:cs="仿宋"/>
                <w:sz w:val="24"/>
                <w:lang w:val="en-US" w:eastAsia="zh-CN"/>
              </w:rPr>
              <w:t>制发件数</w:t>
            </w:r>
          </w:p>
        </w:tc>
        <w:tc>
          <w:tcPr>
            <w:tcW w:w="202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rPr>
              <w:t>本年</w:t>
            </w:r>
            <w:r>
              <w:rPr>
                <w:rFonts w:hint="eastAsia" w:ascii="仿宋" w:hAnsi="仿宋" w:eastAsia="仿宋" w:cs="仿宋"/>
                <w:sz w:val="24"/>
                <w:lang w:val="en-US" w:eastAsia="zh-CN"/>
              </w:rPr>
              <w:t>废止件数</w:t>
            </w:r>
          </w:p>
        </w:tc>
        <w:tc>
          <w:tcPr>
            <w:tcW w:w="229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规    章</w:t>
            </w:r>
          </w:p>
        </w:tc>
        <w:tc>
          <w:tcPr>
            <w:tcW w:w="2460" w:type="dxa"/>
            <w:shd w:val="clear" w:color="auto" w:fill="auto"/>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auto"/>
                <w:sz w:val="24"/>
                <w:lang w:val="en-US" w:eastAsia="zh-CN"/>
              </w:rPr>
              <w:t>0</w:t>
            </w:r>
          </w:p>
        </w:tc>
        <w:tc>
          <w:tcPr>
            <w:tcW w:w="2025" w:type="dxa"/>
            <w:shd w:val="clear" w:color="auto" w:fill="auto"/>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auto"/>
                <w:sz w:val="24"/>
                <w:lang w:val="en-US" w:eastAsia="zh-CN"/>
              </w:rPr>
              <w:t>0</w:t>
            </w:r>
          </w:p>
        </w:tc>
        <w:tc>
          <w:tcPr>
            <w:tcW w:w="2295" w:type="dxa"/>
            <w:shd w:val="clear" w:color="auto" w:fill="auto"/>
          </w:tcPr>
          <w:p>
            <w:pPr>
              <w:spacing w:line="460" w:lineRule="exact"/>
              <w:jc w:val="center"/>
              <w:rPr>
                <w:rFonts w:hint="eastAsia" w:ascii="仿宋" w:hAnsi="仿宋" w:eastAsia="仿宋" w:cs="仿宋"/>
                <w:color w:val="FF0000"/>
                <w:szCs w:val="21"/>
                <w:lang w:val="en-US" w:eastAsia="zh-CN"/>
              </w:rPr>
            </w:pPr>
            <w:r>
              <w:rPr>
                <w:rFonts w:hint="eastAsia" w:ascii="仿宋" w:hAnsi="仿宋" w:eastAsia="仿宋" w:cs="仿宋"/>
                <w:color w:val="auto"/>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lang w:val="en-US" w:eastAsia="zh-CN"/>
              </w:rPr>
              <w:t>行政</w:t>
            </w:r>
            <w:r>
              <w:rPr>
                <w:rFonts w:hint="eastAsia" w:ascii="仿宋" w:hAnsi="仿宋" w:eastAsia="仿宋" w:cs="仿宋"/>
                <w:sz w:val="24"/>
              </w:rPr>
              <w:t>规范性文件</w:t>
            </w:r>
          </w:p>
        </w:tc>
        <w:tc>
          <w:tcPr>
            <w:tcW w:w="2460" w:type="dxa"/>
            <w:shd w:val="clear" w:color="auto" w:fill="auto"/>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auto"/>
                <w:sz w:val="24"/>
                <w:lang w:val="en-US" w:eastAsia="zh-CN"/>
              </w:rPr>
              <w:t>0</w:t>
            </w:r>
          </w:p>
        </w:tc>
        <w:tc>
          <w:tcPr>
            <w:tcW w:w="2025" w:type="dxa"/>
            <w:shd w:val="clear" w:color="auto" w:fill="auto"/>
          </w:tcPr>
          <w:p>
            <w:pPr>
              <w:spacing w:line="460" w:lineRule="exact"/>
              <w:jc w:val="center"/>
              <w:rPr>
                <w:rFonts w:ascii="仿宋" w:hAnsi="仿宋" w:eastAsia="仿宋" w:cs="仿宋"/>
                <w:color w:val="FF0000"/>
                <w:szCs w:val="21"/>
              </w:rPr>
            </w:pPr>
            <w:r>
              <w:rPr>
                <w:rFonts w:hint="eastAsia" w:ascii="仿宋" w:hAnsi="仿宋" w:eastAsia="仿宋" w:cs="仿宋"/>
                <w:color w:val="auto"/>
                <w:sz w:val="24"/>
                <w:lang w:val="en-US" w:eastAsia="zh-CN"/>
              </w:rPr>
              <w:t>0</w:t>
            </w:r>
          </w:p>
        </w:tc>
        <w:tc>
          <w:tcPr>
            <w:tcW w:w="2295" w:type="dxa"/>
            <w:shd w:val="clear" w:color="auto" w:fill="auto"/>
            <w:vAlign w:val="top"/>
          </w:tcPr>
          <w:p>
            <w:pPr>
              <w:spacing w:line="460" w:lineRule="exact"/>
              <w:jc w:val="center"/>
              <w:rPr>
                <w:rFonts w:hint="default" w:ascii="仿宋" w:hAnsi="仿宋" w:eastAsia="仿宋" w:cs="仿宋"/>
                <w:color w:val="FF0000"/>
                <w:kern w:val="2"/>
                <w:sz w:val="21"/>
                <w:szCs w:val="21"/>
                <w:lang w:val="en-US" w:eastAsia="zh-CN" w:bidi="ar-SA"/>
              </w:rPr>
            </w:pPr>
            <w:r>
              <w:rPr>
                <w:rFonts w:hint="eastAsia" w:ascii="仿宋" w:hAnsi="仿宋" w:eastAsia="仿宋" w:cs="仿宋"/>
                <w:color w:val="auto"/>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780" w:type="dxa"/>
            <w:gridSpan w:val="3"/>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行政许可</w:t>
            </w:r>
          </w:p>
        </w:tc>
        <w:tc>
          <w:tcPr>
            <w:tcW w:w="6780" w:type="dxa"/>
            <w:gridSpan w:val="3"/>
            <w:shd w:val="clear" w:color="auto" w:fill="auto"/>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auto"/>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780" w:type="dxa"/>
            <w:gridSpan w:val="3"/>
            <w:shd w:val="clear" w:color="auto" w:fill="auto"/>
          </w:tcPr>
          <w:p>
            <w:pPr>
              <w:spacing w:line="460" w:lineRule="exact"/>
              <w:jc w:val="center"/>
              <w:rPr>
                <w:rFonts w:ascii="仿宋" w:hAnsi="仿宋" w:eastAsia="仿宋" w:cs="仿宋"/>
                <w:sz w:val="24"/>
              </w:rPr>
            </w:pPr>
            <w:r>
              <w:rPr>
                <w:rFonts w:hint="eastAsia" w:ascii="仿宋" w:hAnsi="仿宋" w:eastAsia="仿宋" w:cs="仿宋"/>
                <w:sz w:val="24"/>
                <w:lang w:val="en-US" w:eastAsia="zh-CN"/>
              </w:rPr>
              <w:t>本年</w:t>
            </w: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行政处罚</w:t>
            </w:r>
          </w:p>
        </w:tc>
        <w:tc>
          <w:tcPr>
            <w:tcW w:w="6780" w:type="dxa"/>
            <w:gridSpan w:val="3"/>
            <w:shd w:val="clear" w:color="auto" w:fill="auto"/>
          </w:tcPr>
          <w:p>
            <w:pPr>
              <w:spacing w:line="460" w:lineRule="exact"/>
              <w:jc w:val="center"/>
              <w:rPr>
                <w:rFonts w:ascii="仿宋" w:hAnsi="仿宋" w:eastAsia="仿宋" w:cs="仿宋"/>
                <w:color w:val="FF0000"/>
                <w:szCs w:val="21"/>
              </w:rPr>
            </w:pPr>
            <w:r>
              <w:rPr>
                <w:rFonts w:hint="eastAsia" w:ascii="仿宋" w:hAnsi="仿宋" w:eastAsia="仿宋" w:cs="仿宋"/>
                <w:color w:val="auto"/>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行政强制</w:t>
            </w:r>
          </w:p>
        </w:tc>
        <w:tc>
          <w:tcPr>
            <w:tcW w:w="6780" w:type="dxa"/>
            <w:gridSpan w:val="3"/>
            <w:shd w:val="clear" w:color="auto" w:fill="auto"/>
          </w:tcPr>
          <w:p>
            <w:pPr>
              <w:spacing w:line="460" w:lineRule="exact"/>
              <w:jc w:val="center"/>
              <w:rPr>
                <w:rFonts w:ascii="仿宋" w:hAnsi="仿宋" w:eastAsia="仿宋" w:cs="仿宋"/>
                <w:color w:val="FF0000"/>
                <w:szCs w:val="21"/>
              </w:rPr>
            </w:pPr>
            <w:r>
              <w:rPr>
                <w:rFonts w:hint="eastAsia" w:ascii="仿宋" w:hAnsi="仿宋" w:eastAsia="仿宋" w:cs="仿宋"/>
                <w:color w:val="auto"/>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780" w:type="dxa"/>
            <w:gridSpan w:val="3"/>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行政事业性收费</w:t>
            </w:r>
          </w:p>
        </w:tc>
        <w:tc>
          <w:tcPr>
            <w:tcW w:w="6780" w:type="dxa"/>
            <w:gridSpan w:val="3"/>
            <w:shd w:val="clear" w:color="auto" w:fill="auto"/>
          </w:tcPr>
          <w:p>
            <w:pPr>
              <w:spacing w:line="460" w:lineRule="exact"/>
              <w:jc w:val="center"/>
              <w:rPr>
                <w:rFonts w:hint="default" w:ascii="仿宋" w:hAnsi="仿宋" w:eastAsia="仿宋" w:cs="仿宋"/>
                <w:color w:val="FF0000"/>
                <w:szCs w:val="21"/>
                <w:lang w:val="en-US" w:eastAsia="zh-CN"/>
              </w:rPr>
            </w:pPr>
            <w:r>
              <w:rPr>
                <w:rFonts w:hint="eastAsia" w:ascii="仿宋" w:hAnsi="仿宋" w:eastAsia="仿宋" w:cs="仿宋"/>
                <w:color w:val="auto"/>
                <w:sz w:val="24"/>
                <w:lang w:val="en-US" w:eastAsia="zh-CN"/>
              </w:rPr>
              <w:t>0</w:t>
            </w:r>
          </w:p>
        </w:tc>
      </w:tr>
    </w:tbl>
    <w:p>
      <w:pPr>
        <w:spacing w:line="540" w:lineRule="exact"/>
        <w:rPr>
          <w:rFonts w:ascii="仿宋_GB2312" w:hAnsi="仿宋" w:eastAsia="仿宋_GB2312" w:cs="仿宋"/>
          <w:b/>
          <w:sz w:val="32"/>
          <w:szCs w:val="32"/>
        </w:rPr>
      </w:pPr>
    </w:p>
    <w:p>
      <w:pPr>
        <w:numPr>
          <w:ilvl w:val="0"/>
          <w:numId w:val="0"/>
        </w:numPr>
        <w:spacing w:line="540" w:lineRule="exact"/>
        <w:rPr>
          <w:rFonts w:hint="eastAsia" w:ascii="仿宋_GB2312" w:hAnsi="仿宋" w:eastAsia="仿宋_GB2312" w:cstheme="minorBidi"/>
          <w:color w:val="FF0000"/>
          <w:kern w:val="2"/>
          <w:sz w:val="32"/>
          <w:szCs w:val="32"/>
          <w:lang w:val="en-US" w:eastAsia="zh-CN" w:bidi="ar-SA"/>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3"/>
        <w:tblW w:w="96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36"/>
        <w:gridCol w:w="906"/>
        <w:gridCol w:w="3217"/>
        <w:gridCol w:w="680"/>
        <w:gridCol w:w="680"/>
        <w:gridCol w:w="680"/>
        <w:gridCol w:w="680"/>
        <w:gridCol w:w="680"/>
        <w:gridCol w:w="680"/>
        <w:gridCol w:w="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ascii="仿宋" w:hAnsi="仿宋" w:eastAsia="仿宋" w:cs="仿宋"/>
                <w:sz w:val="24"/>
              </w:rPr>
            </w:pPr>
            <w:r>
              <w:rPr>
                <w:rFonts w:ascii="仿宋" w:hAnsi="仿宋" w:eastAsia="仿宋" w:cs="仿宋"/>
                <w:sz w:val="24"/>
              </w:rPr>
              <w:t>（本列数据的勾稽关系为：第一项加第二项之和，等于第三项加第四项之和）</w:t>
            </w:r>
          </w:p>
        </w:tc>
        <w:tc>
          <w:tcPr>
            <w:tcW w:w="4760" w:type="dxa"/>
            <w:gridSpan w:val="7"/>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hint="eastAsia" w:ascii="仿宋" w:hAnsi="仿宋" w:eastAsia="仿宋" w:cs="仿宋"/>
                <w:sz w:val="24"/>
              </w:rPr>
            </w:pPr>
          </w:p>
        </w:tc>
        <w:tc>
          <w:tcPr>
            <w:tcW w:w="68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自然人</w:t>
            </w:r>
          </w:p>
        </w:tc>
        <w:tc>
          <w:tcPr>
            <w:tcW w:w="340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法人或其他组织</w:t>
            </w:r>
          </w:p>
        </w:tc>
        <w:tc>
          <w:tcPr>
            <w:tcW w:w="68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8" w:hRule="atLeast"/>
          <w:jc w:val="center"/>
        </w:trPr>
        <w:tc>
          <w:tcPr>
            <w:tcW w:w="485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hint="eastAsia" w:ascii="仿宋" w:hAnsi="仿宋" w:eastAsia="仿宋" w:cs="仿宋"/>
                <w:sz w:val="24"/>
              </w:rPr>
            </w:pPr>
          </w:p>
        </w:tc>
        <w:tc>
          <w:tcPr>
            <w:tcW w:w="68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商业</w:t>
            </w:r>
          </w:p>
          <w:p>
            <w:pPr>
              <w:spacing w:line="540" w:lineRule="exact"/>
              <w:jc w:val="center"/>
              <w:rPr>
                <w:rFonts w:ascii="仿宋" w:hAnsi="仿宋" w:eastAsia="仿宋" w:cs="仿宋"/>
                <w:sz w:val="24"/>
              </w:rPr>
            </w:pPr>
            <w:r>
              <w:rPr>
                <w:rFonts w:hint="eastAsia" w:ascii="仿宋" w:hAnsi="仿宋" w:eastAsia="仿宋" w:cs="仿宋"/>
                <w:sz w:val="24"/>
              </w:rPr>
              <w:t>企业</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科研</w:t>
            </w:r>
          </w:p>
          <w:p>
            <w:pPr>
              <w:spacing w:line="540" w:lineRule="exact"/>
              <w:jc w:val="center"/>
              <w:rPr>
                <w:rFonts w:ascii="仿宋" w:hAnsi="仿宋" w:eastAsia="仿宋" w:cs="仿宋"/>
                <w:sz w:val="24"/>
              </w:rPr>
            </w:pPr>
            <w:r>
              <w:rPr>
                <w:rFonts w:hint="eastAsia" w:ascii="仿宋" w:hAnsi="仿宋" w:eastAsia="仿宋" w:cs="仿宋"/>
                <w:sz w:val="24"/>
              </w:rPr>
              <w:t>机构</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社会公益组织</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法律服务机构</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其他</w:t>
            </w:r>
          </w:p>
        </w:tc>
        <w:tc>
          <w:tcPr>
            <w:tcW w:w="68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一、本年新收政府信息公开申请数量</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二、上年结转政府信息公开申请数量</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三、本年度办理结果</w:t>
            </w: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（一）予以公开</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15"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（二）部分公开（区分处理的，只计这一情形，不计其他情形）</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ind w:firstLine="240" w:firstLineChars="100"/>
              <w:jc w:val="both"/>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（三）不予公开</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1.属于国家秘密</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pacing w:val="1"/>
                <w:w w:val="92"/>
                <w:kern w:val="0"/>
                <w:sz w:val="24"/>
                <w:fitText w:val="2880" w:id="683289644"/>
              </w:rPr>
              <w:t>2.其他法律行政法规禁止公开</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3.危及“三安全一稳定”</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4.保护第三方合法权益</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5.属于三类内部事务信息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6.属于四类过程性信息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7.属于行政执法案卷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8.属于行政查询事项</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（四）无法提供</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w w:val="90"/>
                <w:sz w:val="24"/>
              </w:rPr>
              <w:t>1.本机关不掌握相关政府信息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w w:val="90"/>
                <w:sz w:val="24"/>
              </w:rPr>
              <w:t>2.没有现成信息需要另行制作</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3.补正后申请内容仍不明确</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（五）不予处理</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1.信访举报投诉类申请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2.重复申请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3.要求提供公开出版物</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4.无正当理由大量反复申请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71"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5.要求行政机关确认或重新出具已获取信息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8"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（六）其他处理</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1.申请人无正当理由逾期不补正、行政机关不再处理其政府信息公开申请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color w:val="auto"/>
                <w:sz w:val="24"/>
                <w:lang w:val="en-US" w:eastAsia="zh-CN"/>
              </w:rPr>
            </w:pPr>
          </w:p>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8"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2.申请人逾期未按收费通知要求缴纳费用、行政机关不再处理其政府信息公开申请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color w:val="auto"/>
                <w:sz w:val="24"/>
                <w:lang w:val="en-US" w:eastAsia="zh-CN"/>
              </w:rPr>
            </w:pPr>
          </w:p>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3.其他</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（七）总计</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8"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四、结转下年度继续办理</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color w:val="auto"/>
                <w:sz w:val="24"/>
                <w:lang w:val="en-US" w:eastAsia="zh-CN"/>
              </w:rPr>
              <w:t>0</w:t>
            </w:r>
          </w:p>
        </w:tc>
      </w:tr>
    </w:tbl>
    <w:p>
      <w:pPr>
        <w:keepNext w:val="0"/>
        <w:keepLines w:val="0"/>
        <w:widowControl/>
        <w:suppressLineNumbers w:val="0"/>
        <w:jc w:val="left"/>
      </w:pPr>
    </w:p>
    <w:p>
      <w:pPr>
        <w:spacing w:line="540" w:lineRule="exact"/>
        <w:ind w:left="640"/>
        <w:rPr>
          <w:rFonts w:ascii="仿宋" w:hAnsi="仿宋" w:eastAsia="仿宋" w:cs="仿宋"/>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p>
        </w:tc>
        <w:tc>
          <w:tcPr>
            <w:tcW w:w="568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hint="eastAsia" w:ascii="仿宋" w:hAnsi="仿宋" w:eastAsia="仿宋" w:cs="仿宋"/>
                <w:sz w:val="24"/>
                <w:lang w:eastAsia="zh-CN"/>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color w:val="auto"/>
                <w:sz w:val="24"/>
                <w:lang w:val="en-US" w:eastAsia="zh-CN"/>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color w:val="auto"/>
                <w:sz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五、存在的主要问题及改进情况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（一）信息发布主时效性、创新性不强，发布形式较为单一。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（二）主动公开意识有待增强。对政府信息公开工作的重要性认识依然不足，影响到主动公开工作的落实。</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（三）信息公开类型及内容覆盖不够全面，对公众关心的热点、焦点问题信息关注、回应不够。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sz w:val="32"/>
          <w:szCs w:val="32"/>
          <w:lang w:eastAsia="zh-CN"/>
        </w:rPr>
      </w:pPr>
      <w:r>
        <w:rPr>
          <w:rFonts w:hint="eastAsia" w:ascii="仿宋" w:hAnsi="仿宋" w:eastAsia="仿宋" w:cs="仿宋"/>
          <w:i w:val="0"/>
          <w:caps w:val="0"/>
          <w:color w:val="333333"/>
          <w:spacing w:val="0"/>
          <w:sz w:val="32"/>
          <w:szCs w:val="32"/>
          <w:shd w:val="clear" w:fill="FFFFFF"/>
          <w:lang w:eastAsia="zh-CN"/>
        </w:rPr>
        <w:t>已在信息公开指南中发布依申请公开收费标准，202</w:t>
      </w:r>
      <w:r>
        <w:rPr>
          <w:rFonts w:hint="eastAsia" w:ascii="仿宋" w:hAnsi="仿宋" w:eastAsia="仿宋" w:cs="仿宋"/>
          <w:i w:val="0"/>
          <w:caps w:val="0"/>
          <w:color w:val="333333"/>
          <w:spacing w:val="0"/>
          <w:sz w:val="32"/>
          <w:szCs w:val="32"/>
          <w:shd w:val="clear" w:fill="FFFFFF"/>
          <w:lang w:val="en-US" w:eastAsia="zh-CN"/>
        </w:rPr>
        <w:t>2</w:t>
      </w:r>
      <w:r>
        <w:rPr>
          <w:rFonts w:hint="eastAsia" w:ascii="仿宋" w:hAnsi="仿宋" w:eastAsia="仿宋" w:cs="仿宋"/>
          <w:i w:val="0"/>
          <w:caps w:val="0"/>
          <w:color w:val="333333"/>
          <w:spacing w:val="0"/>
          <w:sz w:val="32"/>
          <w:szCs w:val="32"/>
          <w:shd w:val="clear" w:fill="FFFFFF"/>
          <w:lang w:eastAsia="zh-CN"/>
        </w:rPr>
        <w:t>年</w:t>
      </w:r>
      <w:r>
        <w:rPr>
          <w:rFonts w:hint="eastAsia" w:ascii="仿宋" w:hAnsi="仿宋" w:eastAsia="仿宋" w:cs="仿宋"/>
          <w:i w:val="0"/>
          <w:caps w:val="0"/>
          <w:color w:val="333333"/>
          <w:spacing w:val="0"/>
          <w:sz w:val="32"/>
          <w:szCs w:val="32"/>
          <w:shd w:val="clear" w:fill="FFFFFF"/>
          <w:lang w:val="en-US" w:eastAsia="zh-CN"/>
        </w:rPr>
        <w:t>花桥乡</w:t>
      </w:r>
      <w:r>
        <w:rPr>
          <w:rFonts w:hint="eastAsia" w:ascii="仿宋" w:hAnsi="仿宋" w:eastAsia="仿宋" w:cs="仿宋"/>
          <w:i w:val="0"/>
          <w:caps w:val="0"/>
          <w:color w:val="333333"/>
          <w:spacing w:val="0"/>
          <w:sz w:val="32"/>
          <w:szCs w:val="32"/>
          <w:shd w:val="clear" w:fill="FFFFFF"/>
          <w:lang w:eastAsia="zh-CN"/>
        </w:rPr>
        <w:t>无收取信息处理费情况。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abstractNum w:abstractNumId="1">
    <w:nsid w:val="128F45C3"/>
    <w:multiLevelType w:val="singleLevel"/>
    <w:tmpl w:val="128F45C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1YjUzZWJiNzRhNTFjMTIxODc0M2I2YTMxZmY1YTAifQ=="/>
  </w:docVars>
  <w:rsids>
    <w:rsidRoot w:val="00000000"/>
    <w:rsid w:val="00C72EF2"/>
    <w:rsid w:val="072F4BA5"/>
    <w:rsid w:val="0BD0037E"/>
    <w:rsid w:val="0F42566A"/>
    <w:rsid w:val="0FE32618"/>
    <w:rsid w:val="13CC3B21"/>
    <w:rsid w:val="17534F7D"/>
    <w:rsid w:val="1B931963"/>
    <w:rsid w:val="21126163"/>
    <w:rsid w:val="22923CA7"/>
    <w:rsid w:val="22E26EC9"/>
    <w:rsid w:val="23B06487"/>
    <w:rsid w:val="2480713E"/>
    <w:rsid w:val="4A3577E4"/>
    <w:rsid w:val="4E017FF9"/>
    <w:rsid w:val="519D4381"/>
    <w:rsid w:val="566E50F8"/>
    <w:rsid w:val="56857A37"/>
    <w:rsid w:val="589F7850"/>
    <w:rsid w:val="5ABA5A4E"/>
    <w:rsid w:val="5BA359BF"/>
    <w:rsid w:val="5FCE6A83"/>
    <w:rsid w:val="5FEB66AA"/>
    <w:rsid w:val="641A130C"/>
    <w:rsid w:val="6ACB7804"/>
    <w:rsid w:val="6EB526D3"/>
    <w:rsid w:val="6EC41F3F"/>
    <w:rsid w:val="77707769"/>
    <w:rsid w:val="7B440FF1"/>
    <w:rsid w:val="7D7C7DE7"/>
    <w:rsid w:val="7E851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2487</Words>
  <Characters>2606</Characters>
  <Lines>0</Lines>
  <Paragraphs>0</Paragraphs>
  <TotalTime>7</TotalTime>
  <ScaleCrop>false</ScaleCrop>
  <LinksUpToDate>false</LinksUpToDate>
  <CharactersWithSpaces>2610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Administrator</cp:lastModifiedBy>
  <dcterms:modified xsi:type="dcterms:W3CDTF">2023-01-09T03:07:18Z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E0E29FE748DD41F0927789367AD55220</vt:lpwstr>
  </property>
</Properties>
</file>