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国家税务总局宜丰县税务局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FF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国家税务总局宜丰县税务局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国家税务总局宜丰县税务局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江西省宜春市宜丰县新昌中大道75号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0795-2765296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国家税务总局宜丰县税务局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我局高度重视政务公开，把主动公开工作摆在首要突出位置，以“公开为常态、不公开为例外”为工作原则，以让群众对政务公开了解像扫二维码一样简单为工作目标，以着力推进“五公开”为工作方向，通过完善主动公开制度、强化税费政策解读、加强公开平台建设、积极回应群众关切、提高公众参与程度等方式，把省局、市局和县委、县政府对政府信息公开工作的部署落到实处，获得了纳税人缴费人的一致好评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我局通过宜春市税务局门户网站、县政府门户网站、新闻媒体等多元渠道，主动发表各类信息85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条，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通过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江西省税务局外网主动公开行政许可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706条，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行政处罚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13条</w:t>
      </w:r>
      <w:r>
        <w:rPr>
          <w:rFonts w:hint="eastAsia" w:ascii="仿宋_GB2312" w:hAnsi="Calibri" w:eastAsia="仿宋_GB2312" w:cs="仿宋_GB2312"/>
          <w:sz w:val="31"/>
          <w:szCs w:val="31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做到了应公必公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同时，我局开通了宜丰县税务局纳税服务投诉热线，细心倾听纳税人缴费人的意见建议，耐心解决群众的痛点、难点、堵点问题，诚心为大众提供税费政策辅导和热点问题答疑，以此作为政务公开的补充，推动政务公开实实在在服务人民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做好依申请公开工作是满足群众诉求、回应群众关切的重要抓手，我局安排了专人负责依申请公开工作，明确了处理流程、回应时限、回复内容，并保证申请渠道的畅通。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年我局未收到依申请公开事项。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我局紧跟信息化时代潮流，深度贯彻落实数字化政府建设要求，打造了规范标准的门户网站，建立“三审三校”信息审核发布机制，及时发布部门动态、更新公示、减税降费政策等内容，通过网络渠道公开在履行行政管理职能过程中制作和获取的信息，实现更大范围、更快速度、更多受众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我局保持政府门户网站的常态化更新，尤其注重减税降费专栏的动态更新，通过日常更新，确保群众能及时了解政策变动、切实享受优惠政策。同时，我局还制作了“宜问通”宣传海报，并通过征纳互动群保持与群众的紧密联系，便于公布政务信息，便于群众及时接收信息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在组织和监管方面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，县局设立了政务公开领导小组及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信息公开工作领导小组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办公室，政务公开领导小组由班子成员担任，确保组织领导有力；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信息公开工作领导小组办公室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负责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信息公开工作开展日常监督，督促有关责任部门及时、主动公开应公开的事项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，确保监管到位。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在社会评议方面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，通过常态化下户走访企业、做好调查研究、畅通举报投诉热线等方式，持续开展信息公开社会评议。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在责任追究方面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，一方面落实“谁提供、谁负责”、“谁审批，谁负责”制度，扛牢压实工作责任；另一方面强化思想教育，树劳责任意识、为民服务意识。2023年我局未发生政务公开被追究责任的情况。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2023年，我局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政府信息公开工作虽取得了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较好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成效，但仍存在公开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内容不全面的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下一步，我局将采取以下措施予以改进：一是举办政务公开工作的专题培训。邀请政务公开工作的行家里手来给税务干部上课，充分运用网络学习视频，提升人才队伍的专业化水平，提升政务公开工作的质量。二是拓宽公开信息范围。召开专题会议确定哪些内容应当被纳入公开的范围，全面查找决策、规划、政策、经济、社会、文化等方面可公开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未公开的事项，丰富政务公开的内容。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年国家税务总局宜丰县税务局无收取信息处理费情况。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</w:docVars>
  <w:rsids>
    <w:rsidRoot w:val="00000000"/>
    <w:rsid w:val="00C72EF2"/>
    <w:rsid w:val="072F4BA5"/>
    <w:rsid w:val="0B5804F8"/>
    <w:rsid w:val="0BD0037E"/>
    <w:rsid w:val="0CAF1688"/>
    <w:rsid w:val="0F42566A"/>
    <w:rsid w:val="0FE32618"/>
    <w:rsid w:val="12247980"/>
    <w:rsid w:val="13CC3B21"/>
    <w:rsid w:val="17534F7D"/>
    <w:rsid w:val="1B005369"/>
    <w:rsid w:val="1B931963"/>
    <w:rsid w:val="1CA03EB5"/>
    <w:rsid w:val="22923CA7"/>
    <w:rsid w:val="22E26EC9"/>
    <w:rsid w:val="23B06487"/>
    <w:rsid w:val="2480713E"/>
    <w:rsid w:val="299761E5"/>
    <w:rsid w:val="29E14321"/>
    <w:rsid w:val="43A35368"/>
    <w:rsid w:val="477D7246"/>
    <w:rsid w:val="4A3577E4"/>
    <w:rsid w:val="4FB80FF2"/>
    <w:rsid w:val="519D4381"/>
    <w:rsid w:val="52C57FD1"/>
    <w:rsid w:val="55C52D94"/>
    <w:rsid w:val="566E50F8"/>
    <w:rsid w:val="56857A37"/>
    <w:rsid w:val="5ABA5A4E"/>
    <w:rsid w:val="5BA359BF"/>
    <w:rsid w:val="5FCE6A83"/>
    <w:rsid w:val="5FEB66AA"/>
    <w:rsid w:val="641A130C"/>
    <w:rsid w:val="6AA53503"/>
    <w:rsid w:val="6EB526D3"/>
    <w:rsid w:val="6EC41F3F"/>
    <w:rsid w:val="73055F96"/>
    <w:rsid w:val="77707769"/>
    <w:rsid w:val="788F62EF"/>
    <w:rsid w:val="78AD619B"/>
    <w:rsid w:val="7B440FF1"/>
    <w:rsid w:val="7D7C7DE7"/>
    <w:rsid w:val="7E851D4C"/>
    <w:rsid w:val="B7B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1859</Words>
  <Characters>1953</Characters>
  <Lines>0</Lines>
  <Paragraphs>0</Paragraphs>
  <TotalTime>30</TotalTime>
  <ScaleCrop>false</ScaleCrop>
  <LinksUpToDate>false</LinksUpToDate>
  <CharactersWithSpaces>1957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2021-01-07T09:14:00Z</dcterms:created>
  <dc:creator>Administrator</dc:creator>
  <cp:lastModifiedBy>熊丽萍</cp:lastModifiedBy>
  <cp:lastPrinted>2024-01-08T07:21:34Z</cp:lastPrinted>
  <dcterms:modified xsi:type="dcterms:W3CDTF">2024-01-09T00:37:09Z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27BF3EF3799749D1A85DAE3CC1D64587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