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44"/>
          <w:szCs w:val="44"/>
          <w:highlight w:val="none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44"/>
          <w:szCs w:val="44"/>
          <w:highlight w:val="none"/>
          <w:shd w:val="clear" w:color="auto" w:fill="auto"/>
          <w:lang w:val="en-US" w:eastAsia="zh-CN"/>
        </w:rPr>
        <w:t>宜丰县科技局</w:t>
      </w: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44"/>
          <w:szCs w:val="44"/>
          <w:highlight w:val="none"/>
          <w:shd w:val="clear" w:fill="FFFFFF"/>
          <w:lang w:val="en-US" w:eastAsia="zh-CN"/>
        </w:rPr>
        <w:t>2023年</w:t>
      </w: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44"/>
          <w:szCs w:val="44"/>
          <w:highlight w:val="none"/>
          <w:shd w:val="clear" w:fill="FFFFFF"/>
        </w:rPr>
        <w:t>政府信息公开工作年度报告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32"/>
          <w:szCs w:val="32"/>
          <w:highlight w:val="none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FF0000"/>
          <w:spacing w:val="0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highlight w:val="none"/>
        </w:rPr>
        <w:t>本报告依据《中华人民共和国政府信息公开条例》（国务院令第711号，以下简称新《条例》）和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highlight w:val="none"/>
          <w:lang w:eastAsia="zh-CN"/>
        </w:rPr>
        <w:t>《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highlight w:val="none"/>
        </w:rPr>
        <w:t>国务院办公厅政府信息与政务公开办公室关于印发&lt;中华人民共和国政府信息公开工作年度报告格式&gt;的通知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highlight w:val="none"/>
          <w:lang w:eastAsia="zh-CN"/>
        </w:rPr>
        <w:t>》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highlight w:val="none"/>
        </w:rPr>
        <w:t>（国办公开办函〔20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highlight w:val="none"/>
          <w:lang w:val="en-US" w:eastAsia="zh-CN"/>
        </w:rPr>
        <w:t>21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highlight w:val="none"/>
        </w:rPr>
        <w:t>〕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highlight w:val="none"/>
        </w:rPr>
        <w:t>0号）要求，由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highlight w:val="none"/>
          <w:lang w:val="en-US" w:eastAsia="zh-CN"/>
        </w:rPr>
        <w:t>宜丰县科技局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highlight w:val="none"/>
        </w:rPr>
        <w:t>结合有关统计数据编制。本年度报告中所列数据的统计期限自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highlight w:val="none"/>
          <w:lang w:val="en-US" w:eastAsia="zh-CN"/>
        </w:rPr>
        <w:t>2023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highlight w:val="none"/>
        </w:rPr>
        <w:t>年1月1日起至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highlight w:val="none"/>
          <w:lang w:val="en-US" w:eastAsia="zh-CN"/>
        </w:rPr>
        <w:t>2023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highlight w:val="none"/>
        </w:rPr>
        <w:t>年12月31日止。全文包括主动公开、依申请公开、政府信息管理、平台建设、监督保障（含《中华人民共和国政府信息公开条例》第五十条第四项规定的各级人民政府“工作考核、社会评议和责任追究结果情况”）等方面。本年度报告的电子版可以从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highlight w:val="none"/>
          <w:lang w:val="en-US" w:eastAsia="zh-CN"/>
        </w:rPr>
        <w:t>宜丰县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highlight w:val="none"/>
        </w:rPr>
        <w:t>人民政府网站（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highlight w:val="none"/>
          <w:lang w:val="en-US" w:eastAsia="zh-CN"/>
        </w:rPr>
        <w:t>www.jxyf.gov.cn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highlight w:val="none"/>
        </w:rPr>
        <w:t>）下载。如对本报告有任何疑问，请与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highlight w:val="none"/>
          <w:lang w:val="en-US" w:eastAsia="zh-CN"/>
        </w:rPr>
        <w:t>我局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highlight w:val="none"/>
        </w:rPr>
        <w:t>联系（地址：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highlight w:val="none"/>
          <w:shd w:val="clear" w:fill="FFFFFF"/>
        </w:rPr>
        <w:t>宜丰县行政中心802楼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highlight w:val="none"/>
        </w:rPr>
        <w:t>，电话：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highlight w:val="none"/>
          <w:shd w:val="clear" w:fill="FFFFFF"/>
        </w:rPr>
        <w:t>0795-2765268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highlight w:val="none"/>
        </w:rPr>
        <w:t>，邮编：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highlight w:val="none"/>
          <w:shd w:val="clear" w:fill="FFFFFF"/>
        </w:rPr>
        <w:t>336300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highlight w:val="none"/>
        </w:rPr>
        <w:t>）。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32"/>
          <w:szCs w:val="32"/>
          <w:highlight w:val="none"/>
        </w:rPr>
      </w:pPr>
    </w:p>
    <w:p>
      <w:pPr>
        <w:pStyle w:val="5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highlight w:val="none"/>
          <w:shd w:val="clear" w:fill="FFFFFF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highlight w:val="none"/>
          <w:shd w:val="clear" w:fill="FFFFFF"/>
        </w:rPr>
        <w:t>总体情况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rightChars="0" w:firstLine="640" w:firstLineChars="200"/>
        <w:jc w:val="both"/>
        <w:textAlignment w:val="auto"/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32"/>
          <w:szCs w:val="32"/>
          <w:highlight w:val="none"/>
          <w:shd w:val="clear" w:fill="FFFFFF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highlight w:val="none"/>
          <w:shd w:val="clear" w:fill="FFFFFF"/>
          <w:lang w:val="en-US" w:eastAsia="zh-CN"/>
        </w:rPr>
        <w:t>2023年宜丰县科技局坚持以习近平新时代中国特色社会主义思想为指导，深入贯彻党的二十大精神，严格落实《条例》和《江西省人民政府政务公开办公室关于印发2023年江西省政务公开工作要点的通知》（赣府公开办字〔2023〕2号）的要求。同时积极对《宜丰县人民政府办公室关于印发2023年宜丰县政务公开工作要点的通知》（宜府办字〔2023〕30号）明确目标任务，加强政策发布的力度和时效，持续提升公开质量和治理效能，取得积极成效。2023年在宜丰县政府网信息公开平台公开政府信息共计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highlight w:val="none"/>
          <w:lang w:val="en-US" w:eastAsia="zh-CN"/>
        </w:rPr>
        <w:t>39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highlight w:val="none"/>
          <w:shd w:val="clear" w:fill="FFFFFF"/>
          <w:lang w:val="en-US" w:eastAsia="zh-CN"/>
        </w:rPr>
        <w:t>条。</w:t>
      </w:r>
    </w:p>
    <w:p>
      <w:pPr>
        <w:pStyle w:val="5"/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leftChars="0" w:right="0" w:firstLine="420" w:firstLineChars="0"/>
        <w:jc w:val="both"/>
        <w:rPr>
          <w:rFonts w:hint="eastAsia" w:ascii="楷体" w:hAnsi="楷体" w:eastAsia="楷体" w:cs="楷体"/>
          <w:i w:val="0"/>
          <w:caps w:val="0"/>
          <w:color w:val="333333"/>
          <w:spacing w:val="0"/>
          <w:sz w:val="32"/>
          <w:szCs w:val="32"/>
          <w:highlight w:val="none"/>
          <w:shd w:val="clear" w:fill="FFFFFF"/>
          <w:lang w:eastAsia="zh-CN"/>
        </w:rPr>
      </w:pPr>
      <w:r>
        <w:rPr>
          <w:rFonts w:hint="eastAsia" w:ascii="楷体" w:hAnsi="楷体" w:eastAsia="楷体" w:cs="楷体"/>
          <w:i w:val="0"/>
          <w:caps w:val="0"/>
          <w:color w:val="333333"/>
          <w:spacing w:val="0"/>
          <w:sz w:val="32"/>
          <w:szCs w:val="32"/>
          <w:highlight w:val="none"/>
          <w:shd w:val="clear" w:fill="FFFFFF"/>
          <w:lang w:eastAsia="zh-CN"/>
        </w:rPr>
        <w:t>主动公开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7" w:afterLines="50" w:afterAutospacing="0" w:line="240" w:lineRule="auto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highlight w:val="none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highlight w:val="none"/>
          <w:shd w:val="clear" w:fill="FFFFFF"/>
          <w:lang w:val="en-US" w:eastAsia="zh-CN" w:bidi="ar"/>
        </w:rPr>
        <w:t>2023年度在宜丰县政府门户网站主动公开政府信息39条，其中政务动态栏目发布24条，科技管理和项目2条，发展规划1条，人事信息1条，财政预决算3条，决策公开3条，建议提案办理1条，政策解读2条，回应关切1条，机构信息1条。</w:t>
      </w:r>
    </w:p>
    <w:p>
      <w:pPr>
        <w:pStyle w:val="5"/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leftChars="0" w:right="0" w:firstLine="420" w:firstLineChars="0"/>
        <w:jc w:val="both"/>
        <w:rPr>
          <w:rFonts w:hint="eastAsia" w:ascii="楷体" w:hAnsi="楷体" w:eastAsia="楷体" w:cs="楷体"/>
          <w:i w:val="0"/>
          <w:caps w:val="0"/>
          <w:color w:val="333333"/>
          <w:spacing w:val="0"/>
          <w:sz w:val="32"/>
          <w:szCs w:val="32"/>
          <w:highlight w:val="none"/>
          <w:shd w:val="clear" w:fill="FFFFFF"/>
          <w:lang w:eastAsia="zh-CN"/>
        </w:rPr>
      </w:pPr>
      <w:r>
        <w:rPr>
          <w:rFonts w:hint="eastAsia" w:ascii="楷体" w:hAnsi="楷体" w:eastAsia="楷体" w:cs="楷体"/>
          <w:i w:val="0"/>
          <w:caps w:val="0"/>
          <w:color w:val="333333"/>
          <w:spacing w:val="0"/>
          <w:sz w:val="32"/>
          <w:szCs w:val="32"/>
          <w:highlight w:val="none"/>
          <w:shd w:val="clear" w:fill="FFFFFF"/>
          <w:lang w:eastAsia="zh-CN"/>
        </w:rPr>
        <w:t>依申请公开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highlight w:val="none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highlight w:val="none"/>
          <w:shd w:val="clear" w:fill="FFFFFF"/>
          <w:lang w:eastAsia="zh-CN"/>
        </w:rPr>
        <w:t>202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highlight w:val="none"/>
          <w:shd w:val="clear" w:fill="FFFFFF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highlight w:val="none"/>
          <w:shd w:val="clear" w:fill="FFFFFF"/>
          <w:lang w:eastAsia="zh-CN"/>
        </w:rPr>
        <w:t>年度，我局未收到依申请公开内容。</w:t>
      </w:r>
    </w:p>
    <w:p>
      <w:pPr>
        <w:pStyle w:val="5"/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leftChars="0" w:right="0" w:rightChars="0" w:firstLine="420" w:firstLineChars="0"/>
        <w:jc w:val="both"/>
        <w:rPr>
          <w:rFonts w:hint="eastAsia" w:ascii="楷体" w:hAnsi="楷体" w:eastAsia="楷体" w:cs="楷体"/>
          <w:i w:val="0"/>
          <w:caps w:val="0"/>
          <w:color w:val="333333"/>
          <w:spacing w:val="0"/>
          <w:sz w:val="32"/>
          <w:szCs w:val="32"/>
          <w:highlight w:val="none"/>
          <w:shd w:val="clear" w:fill="FFFFFF"/>
          <w:lang w:eastAsia="zh-CN"/>
        </w:rPr>
      </w:pPr>
      <w:r>
        <w:rPr>
          <w:rFonts w:hint="eastAsia" w:ascii="楷体" w:hAnsi="楷体" w:eastAsia="楷体" w:cs="楷体"/>
          <w:i w:val="0"/>
          <w:caps w:val="0"/>
          <w:color w:val="333333"/>
          <w:spacing w:val="0"/>
          <w:sz w:val="32"/>
          <w:szCs w:val="32"/>
          <w:highlight w:val="none"/>
          <w:shd w:val="clear" w:fill="FFFFFF"/>
          <w:lang w:eastAsia="zh-CN"/>
        </w:rPr>
        <w:t>政府信息管理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highlight w:val="none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highlight w:val="none"/>
          <w:shd w:val="clear" w:fill="FFFFFF"/>
          <w:lang w:eastAsia="zh-CN"/>
        </w:rPr>
        <w:t>一加强信息公开审查，明确了由发布员编辑，办公室主任审核，局长终审的“三级”审核制度，严格做到先审后发，确保政务信息内容不涉密、不泄密。二是加强公开平台信息管理和自查工作，根据县政府网站普查和检测通报机制，及时解决错链、失链、错敏字等问题。</w:t>
      </w:r>
    </w:p>
    <w:p>
      <w:pPr>
        <w:pStyle w:val="5"/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leftChars="0" w:right="0" w:firstLine="420" w:firstLineChars="0"/>
        <w:jc w:val="both"/>
        <w:rPr>
          <w:rFonts w:hint="eastAsia" w:ascii="楷体" w:hAnsi="楷体" w:eastAsia="楷体" w:cs="楷体"/>
          <w:i w:val="0"/>
          <w:caps w:val="0"/>
          <w:color w:val="333333"/>
          <w:spacing w:val="0"/>
          <w:sz w:val="32"/>
          <w:szCs w:val="32"/>
          <w:highlight w:val="none"/>
          <w:shd w:val="clear" w:fill="FFFFFF"/>
          <w:lang w:eastAsia="zh-CN"/>
        </w:rPr>
      </w:pPr>
      <w:r>
        <w:rPr>
          <w:rFonts w:hint="eastAsia" w:ascii="楷体" w:hAnsi="楷体" w:eastAsia="楷体" w:cs="楷体"/>
          <w:i w:val="0"/>
          <w:caps w:val="0"/>
          <w:color w:val="333333"/>
          <w:spacing w:val="0"/>
          <w:sz w:val="32"/>
          <w:szCs w:val="32"/>
          <w:highlight w:val="none"/>
          <w:shd w:val="clear" w:fill="FFFFFF"/>
          <w:lang w:eastAsia="zh-CN"/>
        </w:rPr>
        <w:t>平台建设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rightChars="0" w:firstLine="640" w:firstLineChars="200"/>
        <w:jc w:val="both"/>
        <w:rPr>
          <w:rFonts w:hint="eastAsia" w:ascii="仿宋_GB2312" w:eastAsia="仿宋_GB2312" w:cs="仿宋_GB2312" w:hAnsiTheme="minorHAnsi"/>
          <w:kern w:val="0"/>
          <w:sz w:val="32"/>
          <w:szCs w:val="32"/>
          <w:highlight w:val="none"/>
          <w:shd w:val="clear" w:fill="FFFFFF"/>
          <w:lang w:val="en-US" w:eastAsia="zh-CN" w:bidi="ar"/>
        </w:rPr>
      </w:pPr>
      <w:r>
        <w:rPr>
          <w:rFonts w:hint="eastAsia" w:ascii="仿宋_GB2312" w:eastAsia="仿宋_GB2312" w:cs="仿宋_GB2312" w:hAnsiTheme="minorHAnsi"/>
          <w:kern w:val="0"/>
          <w:sz w:val="32"/>
          <w:szCs w:val="32"/>
          <w:highlight w:val="none"/>
          <w:shd w:val="clear" w:fill="FFFFFF"/>
          <w:lang w:val="en-US" w:eastAsia="zh-CN" w:bidi="ar"/>
        </w:rPr>
        <w:t>1.充分发挥宜丰县政府门户网站主阵地作用，把政府网站作为政务公开第一平台，同时加大宣传力度，在宜丰发布、江西科技及各大官方网站投稿宣传。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rightChars="0" w:firstLine="640" w:firstLineChars="200"/>
        <w:jc w:val="both"/>
        <w:rPr>
          <w:rFonts w:hint="eastAsia" w:ascii="仿宋_GB2312" w:eastAsia="仿宋_GB2312" w:cs="仿宋_GB2312" w:hAnsiTheme="minorHAnsi"/>
          <w:kern w:val="0"/>
          <w:sz w:val="32"/>
          <w:szCs w:val="32"/>
          <w:highlight w:val="none"/>
          <w:shd w:val="clear" w:fill="FFFFFF"/>
          <w:lang w:val="en-US" w:eastAsia="zh-CN" w:bidi="ar"/>
        </w:rPr>
      </w:pPr>
      <w:r>
        <w:rPr>
          <w:rFonts w:hint="eastAsia" w:ascii="仿宋_GB2312" w:eastAsia="仿宋_GB2312" w:cs="仿宋_GB2312" w:hAnsiTheme="minorHAnsi"/>
          <w:kern w:val="0"/>
          <w:sz w:val="32"/>
          <w:szCs w:val="32"/>
          <w:highlight w:val="none"/>
          <w:shd w:val="clear" w:fill="FFFFFF"/>
          <w:lang w:val="en-US" w:eastAsia="zh-CN" w:bidi="ar"/>
        </w:rPr>
        <w:t>2.我局未开设门户网站、微博、微信公众号、抖音和客户端。</w:t>
      </w:r>
    </w:p>
    <w:p>
      <w:pPr>
        <w:pStyle w:val="5"/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leftChars="0" w:right="0" w:firstLine="420" w:firstLineChars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32"/>
          <w:szCs w:val="32"/>
          <w:highlight w:val="none"/>
          <w:shd w:val="clear" w:fill="FFFFFF"/>
          <w:lang w:eastAsia="zh-CN"/>
        </w:rPr>
      </w:pPr>
      <w:r>
        <w:rPr>
          <w:rFonts w:hint="eastAsia" w:ascii="楷体" w:hAnsi="楷体" w:eastAsia="楷体" w:cs="楷体"/>
          <w:i w:val="0"/>
          <w:caps w:val="0"/>
          <w:color w:val="333333"/>
          <w:spacing w:val="0"/>
          <w:sz w:val="32"/>
          <w:szCs w:val="32"/>
          <w:highlight w:val="none"/>
          <w:shd w:val="clear" w:fill="FFFFFF"/>
          <w:lang w:eastAsia="zh-CN"/>
        </w:rPr>
        <w:t>监督保障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rightChars="0" w:firstLine="640" w:firstLineChars="200"/>
        <w:jc w:val="both"/>
        <w:rPr>
          <w:highlight w:val="none"/>
        </w:rPr>
      </w:pPr>
      <w:r>
        <w:rPr>
          <w:rFonts w:hint="eastAsia" w:ascii="仿宋_GB2312" w:eastAsia="仿宋_GB2312" w:cs="仿宋_GB2312" w:hAnsiTheme="minorHAnsi"/>
          <w:kern w:val="0"/>
          <w:sz w:val="32"/>
          <w:szCs w:val="32"/>
          <w:highlight w:val="none"/>
          <w:shd w:val="clear" w:fill="FFFFFF"/>
          <w:lang w:val="en-US" w:eastAsia="zh-CN" w:bidi="ar"/>
        </w:rPr>
        <w:t>严格落实“三审三校”信息发布审核制度，做好政府信息公开合法化。贯彻落实《中华人民共和国政府信息公开条例》，不断健全信息公开制度，稳步推进政务公开工作。</w:t>
      </w:r>
      <w:r>
        <w:rPr>
          <w:rFonts w:hint="eastAsia" w:ascii="仿宋_GB2312" w:eastAsia="仿宋_GB2312" w:cs="仿宋_GB2312"/>
          <w:kern w:val="0"/>
          <w:sz w:val="32"/>
          <w:szCs w:val="32"/>
          <w:highlight w:val="none"/>
          <w:shd w:val="clear" w:fill="FFFFFF"/>
        </w:rPr>
        <w:t>认真听取群众意见和建议，强化政务信息公开监督检查制度，落实政务信息公开责任追究制度</w:t>
      </w:r>
      <w:r>
        <w:rPr>
          <w:rFonts w:hint="eastAsia" w:ascii="仿宋_GB2312" w:eastAsia="仿宋_GB2312" w:cs="仿宋_GB2312"/>
          <w:kern w:val="0"/>
          <w:sz w:val="32"/>
          <w:szCs w:val="32"/>
          <w:highlight w:val="none"/>
          <w:shd w:val="clear" w:fill="FFFFFF"/>
          <w:lang w:eastAsia="zh-CN"/>
        </w:rPr>
        <w:t>，</w:t>
      </w:r>
      <w:r>
        <w:rPr>
          <w:rFonts w:hint="eastAsia" w:ascii="仿宋_GB2312" w:eastAsia="仿宋_GB2312" w:cs="仿宋_GB2312"/>
          <w:kern w:val="0"/>
          <w:sz w:val="32"/>
          <w:szCs w:val="32"/>
          <w:highlight w:val="none"/>
          <w:shd w:val="clear" w:fill="FFFFFF"/>
        </w:rPr>
        <w:t>在政务信息公开工作中失职渎职的依法追究责任。2023年未发生政务公开被追究责任的情况。</w:t>
      </w:r>
    </w:p>
    <w:p>
      <w:pPr>
        <w:numPr>
          <w:ilvl w:val="0"/>
          <w:numId w:val="0"/>
        </w:numPr>
        <w:spacing w:line="540" w:lineRule="exact"/>
        <w:ind w:firstLine="640" w:firstLineChars="200"/>
        <w:rPr>
          <w:rFonts w:hint="eastAsia" w:ascii="仿宋_GB2312" w:eastAsia="仿宋_GB2312" w:cs="仿宋_GB2312" w:hAnsiTheme="minorHAnsi"/>
          <w:kern w:val="0"/>
          <w:sz w:val="32"/>
          <w:szCs w:val="32"/>
          <w:highlight w:val="none"/>
          <w:shd w:val="clear" w:fill="FFFFFF"/>
          <w:lang w:val="en-US" w:eastAsia="zh-CN" w:bidi="ar"/>
        </w:rPr>
      </w:pPr>
    </w:p>
    <w:p>
      <w:pPr>
        <w:numPr>
          <w:ilvl w:val="0"/>
          <w:numId w:val="0"/>
        </w:numPr>
        <w:spacing w:line="540" w:lineRule="exact"/>
        <w:rPr>
          <w:rFonts w:hint="eastAsia" w:ascii="黑体" w:hAnsi="黑体" w:eastAsia="黑体" w:cs="黑体"/>
          <w:b w:val="0"/>
          <w:bCs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highlight w:val="none"/>
          <w:lang w:eastAsia="zh-CN"/>
        </w:rPr>
        <w:t>二、</w:t>
      </w:r>
      <w:r>
        <w:rPr>
          <w:rFonts w:hint="eastAsia" w:ascii="黑体" w:hAnsi="黑体" w:eastAsia="黑体" w:cs="黑体"/>
          <w:b w:val="0"/>
          <w:bCs/>
          <w:sz w:val="32"/>
          <w:szCs w:val="32"/>
          <w:highlight w:val="none"/>
        </w:rPr>
        <w:t>主动公开政府信息情况</w:t>
      </w:r>
    </w:p>
    <w:tbl>
      <w:tblPr>
        <w:tblStyle w:val="6"/>
        <w:tblW w:w="848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04"/>
        <w:gridCol w:w="2160"/>
        <w:gridCol w:w="2025"/>
        <w:gridCol w:w="22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84" w:type="dxa"/>
            <w:gridSpan w:val="4"/>
            <w:shd w:val="clear" w:color="auto" w:fill="auto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第二十条第（一）项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04" w:type="dxa"/>
            <w:shd w:val="clear" w:color="auto" w:fill="auto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信息内容</w:t>
            </w:r>
          </w:p>
        </w:tc>
        <w:tc>
          <w:tcPr>
            <w:tcW w:w="2160" w:type="dxa"/>
            <w:shd w:val="clear" w:color="auto" w:fill="auto"/>
          </w:tcPr>
          <w:p>
            <w:pPr>
              <w:spacing w:line="460" w:lineRule="exact"/>
              <w:jc w:val="center"/>
              <w:rPr>
                <w:rFonts w:hint="default" w:ascii="仿宋" w:hAnsi="仿宋" w:eastAsia="仿宋" w:cs="仿宋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本年</w:t>
            </w:r>
            <w:r>
              <w:rPr>
                <w:rFonts w:hint="eastAsia" w:ascii="仿宋" w:hAnsi="仿宋" w:eastAsia="仿宋" w:cs="仿宋"/>
                <w:sz w:val="24"/>
                <w:highlight w:val="none"/>
                <w:lang w:val="en-US" w:eastAsia="zh-CN"/>
              </w:rPr>
              <w:t>制发件数</w:t>
            </w:r>
          </w:p>
        </w:tc>
        <w:tc>
          <w:tcPr>
            <w:tcW w:w="2025" w:type="dxa"/>
            <w:shd w:val="clear" w:color="auto" w:fill="auto"/>
          </w:tcPr>
          <w:p>
            <w:pPr>
              <w:spacing w:line="460" w:lineRule="exact"/>
              <w:jc w:val="center"/>
              <w:rPr>
                <w:rFonts w:hint="default" w:ascii="仿宋" w:hAnsi="仿宋" w:eastAsia="仿宋" w:cs="仿宋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本年</w:t>
            </w:r>
            <w:r>
              <w:rPr>
                <w:rFonts w:hint="eastAsia" w:ascii="仿宋" w:hAnsi="仿宋" w:eastAsia="仿宋" w:cs="仿宋"/>
                <w:sz w:val="24"/>
                <w:highlight w:val="none"/>
                <w:lang w:val="en-US" w:eastAsia="zh-CN"/>
              </w:rPr>
              <w:t>废止件数</w:t>
            </w:r>
          </w:p>
        </w:tc>
        <w:tc>
          <w:tcPr>
            <w:tcW w:w="2295" w:type="dxa"/>
            <w:shd w:val="clear" w:color="auto" w:fill="auto"/>
          </w:tcPr>
          <w:p>
            <w:pPr>
              <w:spacing w:line="460" w:lineRule="exact"/>
              <w:jc w:val="center"/>
              <w:rPr>
                <w:rFonts w:hint="default" w:ascii="仿宋" w:hAnsi="仿宋" w:eastAsia="仿宋" w:cs="仿宋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  <w:lang w:val="en-US" w:eastAsia="zh-CN"/>
              </w:rPr>
              <w:t>现行有效件数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04" w:type="dxa"/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规    章</w:t>
            </w:r>
          </w:p>
        </w:tc>
        <w:tc>
          <w:tcPr>
            <w:tcW w:w="2160" w:type="dxa"/>
            <w:shd w:val="clear" w:color="auto" w:fill="auto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2025" w:type="dxa"/>
            <w:shd w:val="clear" w:color="auto" w:fill="auto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2295" w:type="dxa"/>
            <w:shd w:val="clear" w:color="auto" w:fill="auto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04" w:type="dxa"/>
            <w:shd w:val="clear" w:color="auto" w:fill="auto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  <w:lang w:val="en-US" w:eastAsia="zh-CN"/>
              </w:rPr>
              <w:t>行政</w:t>
            </w:r>
            <w:r>
              <w:rPr>
                <w:rFonts w:hint="eastAsia" w:ascii="仿宋" w:hAnsi="仿宋" w:eastAsia="仿宋" w:cs="仿宋"/>
                <w:sz w:val="24"/>
                <w:highlight w:val="none"/>
              </w:rPr>
              <w:t>规范性文件</w:t>
            </w:r>
          </w:p>
        </w:tc>
        <w:tc>
          <w:tcPr>
            <w:tcW w:w="2160" w:type="dxa"/>
            <w:shd w:val="clear" w:color="auto" w:fill="auto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2025" w:type="dxa"/>
            <w:shd w:val="clear" w:color="auto" w:fill="auto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2295" w:type="dxa"/>
            <w:shd w:val="clear" w:color="auto" w:fill="auto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84" w:type="dxa"/>
            <w:gridSpan w:val="4"/>
            <w:shd w:val="clear" w:color="auto" w:fill="auto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第二十条第（五）项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04" w:type="dxa"/>
            <w:shd w:val="clear" w:color="auto" w:fill="auto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信息内容</w:t>
            </w:r>
          </w:p>
        </w:tc>
        <w:tc>
          <w:tcPr>
            <w:tcW w:w="6480" w:type="dxa"/>
            <w:gridSpan w:val="3"/>
            <w:shd w:val="clear" w:color="auto" w:fill="auto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本年处理决定数量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04" w:type="dxa"/>
            <w:shd w:val="clear" w:color="auto" w:fill="auto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行政许可</w:t>
            </w:r>
          </w:p>
        </w:tc>
        <w:tc>
          <w:tcPr>
            <w:tcW w:w="6480" w:type="dxa"/>
            <w:gridSpan w:val="3"/>
            <w:shd w:val="clear" w:color="auto" w:fill="auto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color w:val="FF0000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84" w:type="dxa"/>
            <w:gridSpan w:val="4"/>
            <w:shd w:val="clear" w:color="auto" w:fill="auto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第二十条第（六）项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04" w:type="dxa"/>
            <w:shd w:val="clear" w:color="auto" w:fill="auto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信息内容</w:t>
            </w:r>
          </w:p>
        </w:tc>
        <w:tc>
          <w:tcPr>
            <w:tcW w:w="6480" w:type="dxa"/>
            <w:gridSpan w:val="3"/>
            <w:shd w:val="clear" w:color="auto" w:fill="auto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  <w:lang w:val="en-US" w:eastAsia="zh-CN"/>
              </w:rPr>
              <w:t>本年</w:t>
            </w:r>
            <w:r>
              <w:rPr>
                <w:rFonts w:hint="eastAsia" w:ascii="仿宋" w:hAnsi="仿宋" w:eastAsia="仿宋" w:cs="仿宋"/>
                <w:sz w:val="24"/>
                <w:highlight w:val="none"/>
              </w:rPr>
              <w:t>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04" w:type="dxa"/>
            <w:shd w:val="clear" w:color="auto" w:fill="auto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行政处罚</w:t>
            </w:r>
          </w:p>
        </w:tc>
        <w:tc>
          <w:tcPr>
            <w:tcW w:w="6480" w:type="dxa"/>
            <w:gridSpan w:val="3"/>
            <w:shd w:val="clear" w:color="auto" w:fill="auto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color w:val="FF0000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04" w:type="dxa"/>
            <w:shd w:val="clear" w:color="auto" w:fill="auto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行政强制</w:t>
            </w:r>
          </w:p>
        </w:tc>
        <w:tc>
          <w:tcPr>
            <w:tcW w:w="6480" w:type="dxa"/>
            <w:gridSpan w:val="3"/>
            <w:shd w:val="clear" w:color="auto" w:fill="auto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color w:val="FF0000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highlight w:val="no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84" w:type="dxa"/>
            <w:gridSpan w:val="4"/>
            <w:shd w:val="clear" w:color="auto" w:fill="auto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第二十条第（八）项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04" w:type="dxa"/>
            <w:shd w:val="clear" w:color="auto" w:fill="auto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信息内容</w:t>
            </w:r>
          </w:p>
        </w:tc>
        <w:tc>
          <w:tcPr>
            <w:tcW w:w="6480" w:type="dxa"/>
            <w:gridSpan w:val="3"/>
            <w:shd w:val="clear" w:color="auto" w:fill="auto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本年收费金额（单位：万元）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2004" w:type="dxa"/>
            <w:shd w:val="clear" w:color="auto" w:fill="auto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行政事业性收费</w:t>
            </w:r>
          </w:p>
        </w:tc>
        <w:tc>
          <w:tcPr>
            <w:tcW w:w="6480" w:type="dxa"/>
            <w:gridSpan w:val="3"/>
            <w:shd w:val="clear" w:color="auto" w:fill="auto"/>
          </w:tcPr>
          <w:p>
            <w:pPr>
              <w:spacing w:line="460" w:lineRule="exact"/>
              <w:jc w:val="center"/>
              <w:rPr>
                <w:rFonts w:hint="default" w:ascii="仿宋" w:hAnsi="仿宋" w:eastAsia="仿宋" w:cs="仿宋"/>
                <w:color w:val="FF000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highlight w:val="none"/>
                <w:lang w:val="en-US" w:eastAsia="zh-CN"/>
              </w:rPr>
              <w:t>0</w:t>
            </w:r>
          </w:p>
        </w:tc>
      </w:tr>
    </w:tbl>
    <w:p>
      <w:pPr>
        <w:spacing w:line="540" w:lineRule="exact"/>
        <w:rPr>
          <w:rFonts w:ascii="仿宋_GB2312" w:hAnsi="仿宋" w:eastAsia="仿宋_GB2312" w:cs="仿宋"/>
          <w:b/>
          <w:sz w:val="32"/>
          <w:szCs w:val="32"/>
          <w:highlight w:val="none"/>
        </w:rPr>
      </w:pPr>
    </w:p>
    <w:p>
      <w:pPr>
        <w:numPr>
          <w:ilvl w:val="0"/>
          <w:numId w:val="0"/>
        </w:numPr>
        <w:spacing w:line="540" w:lineRule="exact"/>
        <w:rPr>
          <w:rFonts w:hint="eastAsia" w:ascii="仿宋_GB2312" w:hAnsi="仿宋" w:eastAsia="仿宋_GB2312" w:cstheme="minorBidi"/>
          <w:color w:val="FF000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highlight w:val="none"/>
          <w:lang w:eastAsia="zh-CN"/>
        </w:rPr>
        <w:t>三、</w:t>
      </w:r>
      <w:r>
        <w:rPr>
          <w:rFonts w:hint="eastAsia" w:ascii="黑体" w:hAnsi="黑体" w:eastAsia="黑体" w:cs="黑体"/>
          <w:b w:val="0"/>
          <w:bCs/>
          <w:sz w:val="32"/>
          <w:szCs w:val="32"/>
          <w:highlight w:val="none"/>
        </w:rPr>
        <w:t>收到和处理政府信息公开申请情况</w:t>
      </w:r>
    </w:p>
    <w:tbl>
      <w:tblPr>
        <w:tblStyle w:val="6"/>
        <w:tblW w:w="9619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6"/>
        <w:gridCol w:w="906"/>
        <w:gridCol w:w="3217"/>
        <w:gridCol w:w="680"/>
        <w:gridCol w:w="680"/>
        <w:gridCol w:w="680"/>
        <w:gridCol w:w="680"/>
        <w:gridCol w:w="680"/>
        <w:gridCol w:w="680"/>
        <w:gridCol w:w="6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4859" w:type="dxa"/>
            <w:gridSpan w:val="3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  <w:highlight w:val="none"/>
              </w:rPr>
            </w:pPr>
            <w:r>
              <w:rPr>
                <w:rFonts w:ascii="仿宋" w:hAnsi="仿宋" w:eastAsia="仿宋" w:cs="仿宋"/>
                <w:sz w:val="24"/>
                <w:highlight w:val="none"/>
              </w:rPr>
              <w:t>（本列数据的勾稽关系为：第一项加第二项之和，等于第三项加第四项之和）</w:t>
            </w:r>
          </w:p>
        </w:tc>
        <w:tc>
          <w:tcPr>
            <w:tcW w:w="476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申请人情况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4859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68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自然人</w:t>
            </w:r>
          </w:p>
        </w:tc>
        <w:tc>
          <w:tcPr>
            <w:tcW w:w="340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法人或其他组织</w:t>
            </w:r>
          </w:p>
        </w:tc>
        <w:tc>
          <w:tcPr>
            <w:tcW w:w="68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8" w:hRule="atLeast"/>
          <w:jc w:val="center"/>
        </w:trPr>
        <w:tc>
          <w:tcPr>
            <w:tcW w:w="4859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68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商业</w:t>
            </w:r>
          </w:p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企业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科研</w:t>
            </w:r>
          </w:p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机构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社会公益组织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法律服务机构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其他</w:t>
            </w:r>
          </w:p>
        </w:tc>
        <w:tc>
          <w:tcPr>
            <w:tcW w:w="68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485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一、本年新收政府信息公开申请数量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485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二、上年结转政府信息公开申请数量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73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三、本年度办理结果</w:t>
            </w:r>
          </w:p>
        </w:tc>
        <w:tc>
          <w:tcPr>
            <w:tcW w:w="412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（一）予以公开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  <w:jc w:val="center"/>
        </w:trPr>
        <w:tc>
          <w:tcPr>
            <w:tcW w:w="73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412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（二）部分公开（区分处理的，只计这一情形，不计其他情形）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73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90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（三）不予公开</w:t>
            </w:r>
          </w:p>
        </w:tc>
        <w:tc>
          <w:tcPr>
            <w:tcW w:w="32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1.属于国家秘密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73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90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32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pacing w:val="1"/>
                <w:w w:val="92"/>
                <w:kern w:val="0"/>
                <w:sz w:val="24"/>
                <w:highlight w:val="none"/>
                <w:fitText w:val="2880" w:id="683289644"/>
              </w:rPr>
              <w:t>2.其他法律行政法规禁止公开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73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90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32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3.危及“三安全一稳定”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73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90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32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4.保护第三方合法权益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73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90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32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5.属于三类内部事务信息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73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90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32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6.属于四类过程性信息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73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90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32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7.属于行政执法案卷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73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90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32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8.属于行政查询事项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73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90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（四）无法提供</w:t>
            </w:r>
          </w:p>
        </w:tc>
        <w:tc>
          <w:tcPr>
            <w:tcW w:w="32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w w:val="90"/>
                <w:sz w:val="24"/>
                <w:highlight w:val="none"/>
              </w:rPr>
              <w:t>1.本机关不掌握相关政府信息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73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90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32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w w:val="90"/>
                <w:sz w:val="24"/>
                <w:highlight w:val="none"/>
              </w:rPr>
              <w:t>2.没有现成信息需要另行制作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73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90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32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3.补正后申请内容仍不明确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73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90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（五）不予处理</w:t>
            </w:r>
          </w:p>
        </w:tc>
        <w:tc>
          <w:tcPr>
            <w:tcW w:w="32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1.信访举报投诉类申请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73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90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32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2.重复申请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73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90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32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3.要求提供公开出版物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73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90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32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4.无正当理由大量反复申请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1" w:hRule="atLeast"/>
          <w:jc w:val="center"/>
        </w:trPr>
        <w:tc>
          <w:tcPr>
            <w:tcW w:w="73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90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32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5.要求行政机关确认或重新出具已获取信息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8" w:hRule="atLeast"/>
          <w:jc w:val="center"/>
        </w:trPr>
        <w:tc>
          <w:tcPr>
            <w:tcW w:w="73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90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（六）其他处理</w:t>
            </w:r>
          </w:p>
        </w:tc>
        <w:tc>
          <w:tcPr>
            <w:tcW w:w="32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1.申请人无正当理由逾期不补正、行政机关不再处理其政府信息公开申请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8" w:hRule="atLeast"/>
          <w:jc w:val="center"/>
        </w:trPr>
        <w:tc>
          <w:tcPr>
            <w:tcW w:w="73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90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32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2.申请人逾期未按收费通知要求缴纳费用、行政机关不再处理其政府信息公开申请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73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90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32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3.其他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73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412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（七）总计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  <w:jc w:val="center"/>
        </w:trPr>
        <w:tc>
          <w:tcPr>
            <w:tcW w:w="485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四、结转下年度继续办理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  <w:lang w:val="en-US" w:eastAsia="zh-CN"/>
              </w:rPr>
              <w:t>0</w:t>
            </w:r>
          </w:p>
        </w:tc>
      </w:tr>
    </w:tbl>
    <w:p>
      <w:pPr>
        <w:spacing w:line="540" w:lineRule="exact"/>
        <w:rPr>
          <w:rFonts w:ascii="仿宋" w:hAnsi="仿宋" w:eastAsia="仿宋" w:cs="仿宋"/>
          <w:highlight w:val="none"/>
        </w:rPr>
      </w:pPr>
    </w:p>
    <w:p>
      <w:pPr>
        <w:numPr>
          <w:ilvl w:val="0"/>
          <w:numId w:val="0"/>
        </w:numPr>
        <w:spacing w:line="540" w:lineRule="exact"/>
        <w:rPr>
          <w:rFonts w:hint="eastAsia" w:ascii="黑体" w:hAnsi="黑体" w:eastAsia="黑体" w:cs="黑体"/>
          <w:b w:val="0"/>
          <w:bCs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highlight w:val="none"/>
          <w:lang w:eastAsia="zh-CN"/>
        </w:rPr>
        <w:t>四、</w:t>
      </w:r>
      <w:r>
        <w:rPr>
          <w:rFonts w:hint="eastAsia" w:ascii="黑体" w:hAnsi="黑体" w:eastAsia="黑体" w:cs="黑体"/>
          <w:b w:val="0"/>
          <w:bCs/>
          <w:sz w:val="32"/>
          <w:szCs w:val="32"/>
          <w:highlight w:val="none"/>
        </w:rPr>
        <w:t>政府信息公开行政复议、行政诉讼情况</w:t>
      </w:r>
    </w:p>
    <w:tbl>
      <w:tblPr>
        <w:tblStyle w:val="6"/>
        <w:tblW w:w="85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gridSpan w:val="5"/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行政复议</w:t>
            </w:r>
          </w:p>
        </w:tc>
        <w:tc>
          <w:tcPr>
            <w:tcW w:w="5680" w:type="dxa"/>
            <w:gridSpan w:val="10"/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vMerge w:val="restart"/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结果维</w:t>
            </w:r>
            <w:r>
              <w:rPr>
                <w:rFonts w:hint="eastAsia" w:ascii="仿宋" w:hAnsi="仿宋" w:eastAsia="仿宋" w:cs="仿宋"/>
                <w:sz w:val="24"/>
                <w:highlight w:val="none"/>
                <w:lang w:eastAsia="zh-CN"/>
              </w:rPr>
              <w:t>持</w:t>
            </w:r>
          </w:p>
        </w:tc>
        <w:tc>
          <w:tcPr>
            <w:tcW w:w="568" w:type="dxa"/>
            <w:vMerge w:val="restart"/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结果纠正</w:t>
            </w:r>
          </w:p>
        </w:tc>
        <w:tc>
          <w:tcPr>
            <w:tcW w:w="568" w:type="dxa"/>
            <w:vMerge w:val="restart"/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其他结果</w:t>
            </w:r>
          </w:p>
        </w:tc>
        <w:tc>
          <w:tcPr>
            <w:tcW w:w="568" w:type="dxa"/>
            <w:vMerge w:val="restart"/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尚未审结</w:t>
            </w:r>
          </w:p>
        </w:tc>
        <w:tc>
          <w:tcPr>
            <w:tcW w:w="568" w:type="dxa"/>
            <w:vMerge w:val="restart"/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总计</w:t>
            </w:r>
          </w:p>
        </w:tc>
        <w:tc>
          <w:tcPr>
            <w:tcW w:w="2840" w:type="dxa"/>
            <w:gridSpan w:val="5"/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highlight w:val="none"/>
                <w:shd w:val="clear" w:color="auto" w:fill="FFFFFF"/>
              </w:rPr>
              <w:t>未经复议直接起诉</w:t>
            </w:r>
          </w:p>
        </w:tc>
        <w:tc>
          <w:tcPr>
            <w:tcW w:w="2840" w:type="dxa"/>
            <w:gridSpan w:val="5"/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vMerge w:val="continue"/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568" w:type="dxa"/>
            <w:vMerge w:val="continue"/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568" w:type="dxa"/>
            <w:vMerge w:val="continue"/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568" w:type="dxa"/>
            <w:vMerge w:val="continue"/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568" w:type="dxa"/>
            <w:vMerge w:val="continue"/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结果维</w:t>
            </w:r>
            <w:r>
              <w:rPr>
                <w:rFonts w:hint="eastAsia" w:ascii="仿宋" w:hAnsi="仿宋" w:eastAsia="仿宋" w:cs="仿宋"/>
                <w:sz w:val="24"/>
                <w:highlight w:val="none"/>
                <w:lang w:eastAsia="zh-CN"/>
              </w:rPr>
              <w:t>持</w:t>
            </w:r>
          </w:p>
        </w:tc>
        <w:tc>
          <w:tcPr>
            <w:tcW w:w="568" w:type="dxa"/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结果纠正</w:t>
            </w:r>
          </w:p>
        </w:tc>
        <w:tc>
          <w:tcPr>
            <w:tcW w:w="568" w:type="dxa"/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其他结果</w:t>
            </w:r>
          </w:p>
        </w:tc>
        <w:tc>
          <w:tcPr>
            <w:tcW w:w="568" w:type="dxa"/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尚未审结</w:t>
            </w:r>
          </w:p>
        </w:tc>
        <w:tc>
          <w:tcPr>
            <w:tcW w:w="568" w:type="dxa"/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总计</w:t>
            </w:r>
          </w:p>
        </w:tc>
        <w:tc>
          <w:tcPr>
            <w:tcW w:w="568" w:type="dxa"/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结果维</w:t>
            </w:r>
            <w:r>
              <w:rPr>
                <w:rFonts w:hint="eastAsia" w:ascii="仿宋" w:hAnsi="仿宋" w:eastAsia="仿宋" w:cs="仿宋"/>
                <w:sz w:val="24"/>
                <w:highlight w:val="none"/>
                <w:lang w:eastAsia="zh-CN"/>
              </w:rPr>
              <w:t>持</w:t>
            </w:r>
          </w:p>
        </w:tc>
        <w:tc>
          <w:tcPr>
            <w:tcW w:w="568" w:type="dxa"/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结果纠正</w:t>
            </w:r>
          </w:p>
        </w:tc>
        <w:tc>
          <w:tcPr>
            <w:tcW w:w="568" w:type="dxa"/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其他结果</w:t>
            </w:r>
          </w:p>
        </w:tc>
        <w:tc>
          <w:tcPr>
            <w:tcW w:w="568" w:type="dxa"/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尚未审结</w:t>
            </w:r>
          </w:p>
        </w:tc>
        <w:tc>
          <w:tcPr>
            <w:tcW w:w="568" w:type="dxa"/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shd w:val="clear" w:color="auto" w:fill="auto"/>
          </w:tcPr>
          <w:p>
            <w:pPr>
              <w:spacing w:line="540" w:lineRule="exact"/>
              <w:rPr>
                <w:rFonts w:hint="eastAsia" w:ascii="仿宋" w:hAnsi="仿宋" w:eastAsia="仿宋" w:cs="仿宋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568" w:type="dxa"/>
            <w:shd w:val="clear" w:color="auto" w:fill="auto"/>
          </w:tcPr>
          <w:p>
            <w:pPr>
              <w:spacing w:line="540" w:lineRule="exact"/>
              <w:rPr>
                <w:rFonts w:hint="eastAsia" w:ascii="仿宋" w:hAnsi="仿宋" w:eastAsia="仿宋" w:cs="仿宋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568" w:type="dxa"/>
            <w:shd w:val="clear" w:color="auto" w:fill="auto"/>
          </w:tcPr>
          <w:p>
            <w:pPr>
              <w:spacing w:line="540" w:lineRule="exact"/>
              <w:rPr>
                <w:rFonts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568" w:type="dxa"/>
            <w:shd w:val="clear" w:color="auto" w:fill="auto"/>
          </w:tcPr>
          <w:p>
            <w:pPr>
              <w:spacing w:line="540" w:lineRule="exact"/>
              <w:rPr>
                <w:rFonts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568" w:type="dxa"/>
            <w:shd w:val="clear" w:color="auto" w:fill="auto"/>
          </w:tcPr>
          <w:p>
            <w:pPr>
              <w:spacing w:line="540" w:lineRule="exact"/>
              <w:rPr>
                <w:rFonts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568" w:type="dxa"/>
            <w:shd w:val="clear" w:color="auto" w:fill="auto"/>
          </w:tcPr>
          <w:p>
            <w:pPr>
              <w:spacing w:line="540" w:lineRule="exact"/>
              <w:rPr>
                <w:rFonts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568" w:type="dxa"/>
            <w:shd w:val="clear" w:color="auto" w:fill="auto"/>
          </w:tcPr>
          <w:p>
            <w:pPr>
              <w:spacing w:line="540" w:lineRule="exact"/>
              <w:rPr>
                <w:rFonts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568" w:type="dxa"/>
            <w:shd w:val="clear" w:color="auto" w:fill="auto"/>
          </w:tcPr>
          <w:p>
            <w:pPr>
              <w:spacing w:line="540" w:lineRule="exact"/>
              <w:rPr>
                <w:rFonts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568" w:type="dxa"/>
            <w:shd w:val="clear" w:color="auto" w:fill="auto"/>
          </w:tcPr>
          <w:p>
            <w:pPr>
              <w:spacing w:line="540" w:lineRule="exact"/>
              <w:rPr>
                <w:rFonts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568" w:type="dxa"/>
            <w:shd w:val="clear" w:color="auto" w:fill="auto"/>
          </w:tcPr>
          <w:p>
            <w:pPr>
              <w:spacing w:line="540" w:lineRule="exact"/>
              <w:rPr>
                <w:rFonts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568" w:type="dxa"/>
            <w:shd w:val="clear" w:color="auto" w:fill="auto"/>
          </w:tcPr>
          <w:p>
            <w:pPr>
              <w:spacing w:line="540" w:lineRule="exact"/>
              <w:rPr>
                <w:rFonts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568" w:type="dxa"/>
            <w:shd w:val="clear" w:color="auto" w:fill="auto"/>
          </w:tcPr>
          <w:p>
            <w:pPr>
              <w:spacing w:line="540" w:lineRule="exact"/>
              <w:rPr>
                <w:rFonts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568" w:type="dxa"/>
            <w:shd w:val="clear" w:color="auto" w:fill="auto"/>
          </w:tcPr>
          <w:p>
            <w:pPr>
              <w:spacing w:line="540" w:lineRule="exact"/>
              <w:rPr>
                <w:rFonts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568" w:type="dxa"/>
            <w:shd w:val="clear" w:color="auto" w:fill="auto"/>
          </w:tcPr>
          <w:p>
            <w:pPr>
              <w:spacing w:line="540" w:lineRule="exact"/>
              <w:rPr>
                <w:rFonts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568" w:type="dxa"/>
            <w:shd w:val="clear" w:color="auto" w:fill="auto"/>
          </w:tcPr>
          <w:p>
            <w:pPr>
              <w:spacing w:line="540" w:lineRule="exact"/>
              <w:rPr>
                <w:rFonts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32"/>
          <w:szCs w:val="32"/>
          <w:highlight w:val="none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highlight w:val="none"/>
          <w:shd w:val="clear" w:fill="FFFFFF"/>
        </w:rPr>
        <w:t>五、存在的主要问题及改进情况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highlight w:val="none"/>
          <w:shd w:val="clear" w:fill="FFFFFF"/>
          <w:lang w:eastAsia="zh-CN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highlight w:val="none"/>
          <w:shd w:val="clear" w:fill="FFFFFF"/>
          <w:lang w:val="en-US" w:eastAsia="zh-CN"/>
        </w:rPr>
        <w:t>2023年，我局政务公开工作完成较好，但也存在一些不足：一是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highlight w:val="none"/>
          <w:shd w:val="clear" w:fill="FFFFFF"/>
          <w:lang w:eastAsia="zh-CN"/>
        </w:rPr>
        <w:t>公开内容大多是业务相关政策通知，内容不够创新丰富，形式也大多是文档文字，图片视频等生动有趣的内容形式比较少。且公开内容较少原创，大多为转载内容。下一步将丰富政务公开内容，多向同级部门学习，借鉴优秀做法，加大政务公开内容创作力度。二是各科室工作人员对政府信息公开意识强弱不一，对政务公开各项规章制度和工作流程认识有待进一步提高。下一步将综合多种方式，加大对政务公开宣传，加强对全体干部职工政务公开业务培训，开展科室人员之间多种形式的交流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highlight w:val="none"/>
          <w:shd w:val="clear" w:fill="FFFFFF"/>
        </w:rPr>
        <w:t>六、其他需要报告的事项</w:t>
      </w:r>
      <w:bookmarkStart w:id="0" w:name="_GoBack"/>
      <w:bookmarkEnd w:id="0"/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highlight w:val="none"/>
          <w:shd w:val="clear" w:fill="FFFFFF"/>
          <w:lang w:eastAsia="zh-CN"/>
        </w:rPr>
        <w:t>已在信息公开指南中发布依申请公开收费标准，202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highlight w:val="none"/>
          <w:shd w:val="clear" w:fill="FFFFFF"/>
          <w:lang w:val="en-US" w:eastAsia="zh-CN"/>
        </w:rPr>
        <w:t>3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highlight w:val="none"/>
          <w:shd w:val="clear" w:fill="FFFFFF"/>
          <w:lang w:eastAsia="zh-CN"/>
        </w:rPr>
        <w:t>年我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highlight w:val="none"/>
          <w:shd w:val="clear" w:fill="FFFFFF"/>
          <w:lang w:val="en-US" w:eastAsia="zh-CN"/>
        </w:rPr>
        <w:t>局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highlight w:val="none"/>
          <w:shd w:val="clear" w:fill="FFFFFF"/>
          <w:lang w:eastAsia="zh-CN"/>
        </w:rPr>
        <w:t>无收取信息处理费情况。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49DB681"/>
    <w:multiLevelType w:val="singleLevel"/>
    <w:tmpl w:val="E49DB681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685D16C3"/>
    <w:multiLevelType w:val="singleLevel"/>
    <w:tmpl w:val="685D16C3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hjYjllNmU1MTE5OTdlMmUzMWZkMjllMDE0NmU5MWIifQ=="/>
  </w:docVars>
  <w:rsids>
    <w:rsidRoot w:val="00000000"/>
    <w:rsid w:val="00C72EF2"/>
    <w:rsid w:val="066F5090"/>
    <w:rsid w:val="072F4BA5"/>
    <w:rsid w:val="0BD0037E"/>
    <w:rsid w:val="0C9F6BF0"/>
    <w:rsid w:val="0D5969EF"/>
    <w:rsid w:val="0F42566A"/>
    <w:rsid w:val="0FE32618"/>
    <w:rsid w:val="13CC3B21"/>
    <w:rsid w:val="17534F7D"/>
    <w:rsid w:val="1B931963"/>
    <w:rsid w:val="22923CA7"/>
    <w:rsid w:val="22E26EC9"/>
    <w:rsid w:val="23B06487"/>
    <w:rsid w:val="2480713E"/>
    <w:rsid w:val="287F0D0A"/>
    <w:rsid w:val="299761E5"/>
    <w:rsid w:val="2BC82126"/>
    <w:rsid w:val="35DF103A"/>
    <w:rsid w:val="4A3577E4"/>
    <w:rsid w:val="519D4381"/>
    <w:rsid w:val="566E50F8"/>
    <w:rsid w:val="56857A37"/>
    <w:rsid w:val="5ABA5A4E"/>
    <w:rsid w:val="5BA359BF"/>
    <w:rsid w:val="5C8B2282"/>
    <w:rsid w:val="5FCE6A83"/>
    <w:rsid w:val="5FEB66AA"/>
    <w:rsid w:val="641A130C"/>
    <w:rsid w:val="6EB526D3"/>
    <w:rsid w:val="6EC41F3F"/>
    <w:rsid w:val="77707769"/>
    <w:rsid w:val="7B440FF1"/>
    <w:rsid w:val="7D7C7DE7"/>
    <w:rsid w:val="7E851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autoRedefine/>
    <w:semiHidden/>
    <w:qFormat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autoRedefine/>
    <w:qFormat/>
    <w:uiPriority w:val="0"/>
    <w:pPr>
      <w:spacing w:after="0"/>
      <w:ind w:left="0" w:leftChars="0" w:firstLine="420" w:firstLineChars="200"/>
    </w:pPr>
    <w:rPr>
      <w:snapToGrid w:val="0"/>
      <w:kern w:val="0"/>
      <w:szCs w:val="24"/>
    </w:rPr>
  </w:style>
  <w:style w:type="paragraph" w:styleId="3">
    <w:name w:val="Body Text Indent"/>
    <w:basedOn w:val="1"/>
    <w:next w:val="4"/>
    <w:autoRedefine/>
    <w:unhideWhenUsed/>
    <w:qFormat/>
    <w:uiPriority w:val="99"/>
    <w:pPr>
      <w:spacing w:after="120"/>
      <w:ind w:left="420" w:leftChars="200"/>
    </w:pPr>
  </w:style>
  <w:style w:type="paragraph" w:styleId="4">
    <w:name w:val="Normal Indent"/>
    <w:basedOn w:val="1"/>
    <w:next w:val="1"/>
    <w:autoRedefine/>
    <w:qFormat/>
    <w:uiPriority w:val="0"/>
    <w:pPr>
      <w:ind w:firstLine="420" w:firstLineChars="200"/>
    </w:pPr>
  </w:style>
  <w:style w:type="paragraph" w:styleId="5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1859</Words>
  <Characters>1953</Characters>
  <Lines>0</Lines>
  <Paragraphs>0</Paragraphs>
  <TotalTime>57</TotalTime>
  <ScaleCrop>false</ScaleCrop>
  <LinksUpToDate>false</LinksUpToDate>
  <CharactersWithSpaces>1957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2021-01-07T01:14:00Z</dcterms:created>
  <dc:creator>Administrator</dc:creator>
  <cp:lastModifiedBy>一如初衷</cp:lastModifiedBy>
  <dcterms:modified xsi:type="dcterms:W3CDTF">2024-01-04T03:02:32Z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27BF3EF3799749D1A85DAE3CC1D64587</vt:lpwstr>
  </property>
</Properties>
</file>